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7FA597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F1FE7">
        <w:t>114</w:t>
      </w:r>
      <w:r w:rsidR="00257494">
        <w:t>bis</w:t>
      </w:r>
      <w:r w:rsidRPr="00CE0424">
        <w:tab/>
      </w:r>
      <w:proofErr w:type="spellStart"/>
      <w:r w:rsidRPr="00CE0424">
        <w:rPr>
          <w:sz w:val="32"/>
          <w:szCs w:val="32"/>
        </w:rPr>
        <w:t>Tdoc</w:t>
      </w:r>
      <w:proofErr w:type="spellEnd"/>
      <w:r w:rsidRPr="00CE0424">
        <w:rPr>
          <w:sz w:val="32"/>
          <w:szCs w:val="32"/>
        </w:rPr>
        <w:t xml:space="preserve"> </w:t>
      </w:r>
      <w:r w:rsidR="0036601E">
        <w:rPr>
          <w:sz w:val="32"/>
          <w:szCs w:val="32"/>
        </w:rPr>
        <w:t>R1-</w:t>
      </w:r>
      <w:r w:rsidR="0036601E" w:rsidRPr="0036601E">
        <w:rPr>
          <w:sz w:val="32"/>
          <w:szCs w:val="32"/>
        </w:rPr>
        <w:t>2310244</w:t>
      </w:r>
    </w:p>
    <w:p w14:paraId="3086AC07" w14:textId="7DE884E5" w:rsidR="00E90E49" w:rsidRPr="00CE0424" w:rsidRDefault="00257494" w:rsidP="00357380">
      <w:pPr>
        <w:pStyle w:val="3GPPHeader"/>
      </w:pPr>
      <w:r w:rsidRPr="00257494">
        <w:t>Xiamen, China, October 9th – October 13th, 2023</w:t>
      </w:r>
    </w:p>
    <w:p w14:paraId="3982483C" w14:textId="36AB4B74"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92243" w:rsidRPr="001266C9">
        <w:rPr>
          <w:sz w:val="22"/>
          <w:lang w:val="sv-FI"/>
        </w:rPr>
        <w:t>7.1</w:t>
      </w:r>
    </w:p>
    <w:p w14:paraId="5619E868" w14:textId="6E393DF8"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CB0EB3" w:rsidRPr="0036601E">
        <w:rPr>
          <w:sz w:val="22"/>
        </w:rPr>
        <w:t xml:space="preserve">, </w:t>
      </w:r>
      <w:r w:rsidR="00CB0EB3" w:rsidRPr="0036601E">
        <w:t>T-Mobile USA</w:t>
      </w:r>
    </w:p>
    <w:p w14:paraId="3AF5C9FA" w14:textId="5EB15B78" w:rsidR="00E90E49" w:rsidRPr="00CE0424" w:rsidRDefault="003D3C45" w:rsidP="00311702">
      <w:pPr>
        <w:pStyle w:val="3GPPHeader"/>
        <w:rPr>
          <w:sz w:val="22"/>
        </w:rPr>
      </w:pPr>
      <w:r>
        <w:rPr>
          <w:sz w:val="22"/>
        </w:rPr>
        <w:t>Title:</w:t>
      </w:r>
      <w:r w:rsidR="00E90E49" w:rsidRPr="00CE0424">
        <w:rPr>
          <w:sz w:val="22"/>
        </w:rPr>
        <w:tab/>
      </w:r>
      <w:r w:rsidR="00A850BB" w:rsidRPr="00A850BB">
        <w:rPr>
          <w:sz w:val="22"/>
        </w:rPr>
        <w:t>SRS Carrier Switching with DL DCI formats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1266C9">
        <w:rPr>
          <w:sz w:val="22"/>
        </w:rPr>
        <w:t>Discussion, Decision</w:t>
      </w:r>
    </w:p>
    <w:p w14:paraId="2D5672ED" w14:textId="77777777" w:rsidR="00E90E49" w:rsidRPr="00CE0424" w:rsidRDefault="00E90E49" w:rsidP="00E90E49"/>
    <w:p w14:paraId="6883CB62" w14:textId="6451AE39" w:rsidR="00E90E49" w:rsidRPr="00CE0424" w:rsidRDefault="00230D18" w:rsidP="00CE0424">
      <w:pPr>
        <w:pStyle w:val="Heading1"/>
      </w:pPr>
      <w:r>
        <w:t>1</w:t>
      </w:r>
      <w:r>
        <w:tab/>
      </w:r>
      <w:r w:rsidR="00E90E49" w:rsidRPr="00CE0424">
        <w:t>Introduction</w:t>
      </w:r>
    </w:p>
    <w:p w14:paraId="5A3FD92C" w14:textId="6D3EECF3" w:rsidR="0022577C" w:rsidRDefault="0022577C" w:rsidP="00CE0424">
      <w:pPr>
        <w:pStyle w:val="BodyText"/>
      </w:pPr>
      <w:r>
        <w:t xml:space="preserve">In RAN1#114, support for DCI formats 1_1 and 1_2 was discussed </w:t>
      </w:r>
      <w:r w:rsidR="00361CF8">
        <w:fldChar w:fldCharType="begin"/>
      </w:r>
      <w:r w:rsidR="00361CF8">
        <w:instrText xml:space="preserve"> REF _Ref142664398 \r \h </w:instrText>
      </w:r>
      <w:r w:rsidR="00361CF8">
        <w:fldChar w:fldCharType="separate"/>
      </w:r>
      <w:r w:rsidR="00FC4662">
        <w:t>[1]</w:t>
      </w:r>
      <w:r w:rsidR="00361CF8">
        <w:fldChar w:fldCharType="end"/>
      </w:r>
      <w:r w:rsidR="00361CF8">
        <w:fldChar w:fldCharType="begin"/>
      </w:r>
      <w:r w:rsidR="00361CF8">
        <w:instrText xml:space="preserve"> REF _Ref146564676 \r \h </w:instrText>
      </w:r>
      <w:r w:rsidR="00361CF8">
        <w:fldChar w:fldCharType="separate"/>
      </w:r>
      <w:r w:rsidR="00FC4662">
        <w:t>[2]</w:t>
      </w:r>
      <w:r w:rsidR="00361CF8">
        <w:fldChar w:fldCharType="end"/>
      </w:r>
      <w:r>
        <w:t>. Consequently, the following agreement was made:</w:t>
      </w:r>
    </w:p>
    <w:p w14:paraId="2403A657" w14:textId="77777777" w:rsidR="0022577C" w:rsidRPr="0022577C" w:rsidRDefault="0022577C" w:rsidP="0022577C">
      <w:pPr>
        <w:spacing w:after="0" w:line="240" w:lineRule="auto"/>
        <w:ind w:left="567"/>
        <w:rPr>
          <w:rFonts w:ascii="Times" w:eastAsia="Batang" w:hAnsi="Times" w:cs="Times New Roman"/>
          <w:b/>
          <w:bCs/>
          <w:szCs w:val="24"/>
          <w:highlight w:val="green"/>
          <w:lang w:val="en-GB" w:eastAsia="x-none"/>
        </w:rPr>
      </w:pPr>
      <w:r w:rsidRPr="0022577C">
        <w:rPr>
          <w:rFonts w:ascii="Times" w:eastAsia="Batang" w:hAnsi="Times" w:cs="Times New Roman"/>
          <w:b/>
          <w:bCs/>
          <w:szCs w:val="24"/>
          <w:highlight w:val="green"/>
          <w:lang w:val="en-GB" w:eastAsia="x-none"/>
        </w:rPr>
        <w:t>Agreement</w:t>
      </w:r>
    </w:p>
    <w:p w14:paraId="3B112AA0" w14:textId="77777777" w:rsidR="0022577C" w:rsidRPr="0022577C" w:rsidRDefault="0022577C" w:rsidP="0022577C">
      <w:pPr>
        <w:spacing w:after="0" w:line="240" w:lineRule="auto"/>
        <w:ind w:left="567"/>
        <w:rPr>
          <w:rFonts w:ascii="Times" w:eastAsia="Malgun Gothic" w:hAnsi="Times" w:cs="Times New Roman"/>
          <w:szCs w:val="24"/>
          <w:lang w:val="en-GB" w:eastAsia="ko-KR"/>
        </w:rPr>
      </w:pPr>
      <w:r w:rsidRPr="0022577C">
        <w:rPr>
          <w:rFonts w:ascii="Times" w:eastAsia="Malgun Gothic" w:hAnsi="Times" w:cs="Times New Roman"/>
          <w:szCs w:val="24"/>
          <w:lang w:val="en-GB" w:eastAsia="ko-KR"/>
        </w:rPr>
        <w:t>Select one of the following two alternatives in RAN1#114bis:</w:t>
      </w:r>
    </w:p>
    <w:p w14:paraId="1C9D1FDB" w14:textId="77777777" w:rsidR="0022577C" w:rsidRPr="0022577C" w:rsidRDefault="0022577C" w:rsidP="0022577C">
      <w:pPr>
        <w:numPr>
          <w:ilvl w:val="0"/>
          <w:numId w:val="23"/>
        </w:numPr>
        <w:spacing w:after="0" w:line="240" w:lineRule="auto"/>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1: RAN1 concludes that DCI 1_1 and 1</w:t>
      </w:r>
      <w:r w:rsidRPr="0022577C">
        <w:rPr>
          <w:rFonts w:ascii="Times" w:eastAsia="Malgun Gothic" w:hAnsi="Times" w:cs="Arial"/>
          <w:szCs w:val="24"/>
          <w:lang w:val="en-GB" w:eastAsia="ko-KR"/>
        </w:rPr>
        <w:t xml:space="preserve">_2 triggering </w:t>
      </w:r>
      <w:proofErr w:type="gramStart"/>
      <w:r w:rsidRPr="0022577C">
        <w:rPr>
          <w:rFonts w:ascii="Times" w:eastAsia="Malgun Gothic" w:hAnsi="Times" w:cs="Arial"/>
          <w:szCs w:val="24"/>
          <w:lang w:val="en-GB" w:eastAsia="ko-KR"/>
        </w:rPr>
        <w:t>are</w:t>
      </w:r>
      <w:proofErr w:type="gramEnd"/>
      <w:r w:rsidRPr="0022577C">
        <w:rPr>
          <w:rFonts w:ascii="Times" w:eastAsia="Malgun Gothic" w:hAnsi="Times" w:cs="Arial"/>
          <w:szCs w:val="24"/>
          <w:lang w:val="en-GB" w:eastAsia="ko-KR"/>
        </w:rPr>
        <w:t xml:space="preserve"> supported for aperiodic SRS carrier switching in Rel-15</w:t>
      </w:r>
    </w:p>
    <w:p w14:paraId="52DBE555" w14:textId="77777777" w:rsidR="0022577C" w:rsidRPr="0022577C" w:rsidRDefault="0022577C" w:rsidP="0022577C">
      <w:pPr>
        <w:numPr>
          <w:ilvl w:val="0"/>
          <w:numId w:val="23"/>
        </w:numPr>
        <w:spacing w:after="0" w:line="240" w:lineRule="auto"/>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2: RAN1 agrees to introduce Rel-17 UE capability signalling related to support of DCI 1_1 and 1</w:t>
      </w:r>
      <w:r w:rsidRPr="0022577C">
        <w:rPr>
          <w:rFonts w:ascii="Times" w:eastAsia="Malgun Gothic" w:hAnsi="Times" w:cs="Arial"/>
          <w:szCs w:val="24"/>
          <w:lang w:val="en-GB" w:eastAsia="ko-KR"/>
        </w:rPr>
        <w:t>_2 triggering for aperiodic SRS carrier switching.</w:t>
      </w:r>
    </w:p>
    <w:p w14:paraId="5D7DC215" w14:textId="2E521A0B" w:rsidR="0022577C" w:rsidRDefault="0022577C" w:rsidP="00CE0424">
      <w:pPr>
        <w:pStyle w:val="BodyText"/>
      </w:pPr>
    </w:p>
    <w:p w14:paraId="6AB94BA9" w14:textId="3FCC7416" w:rsidR="0022577C" w:rsidRDefault="0022577C" w:rsidP="00CE0424">
      <w:pPr>
        <w:pStyle w:val="BodyText"/>
      </w:pPr>
      <w:r>
        <w:t xml:space="preserve">Given this agreement, it is understood that DCI 1_1 and 1_2 </w:t>
      </w:r>
      <w:proofErr w:type="gramStart"/>
      <w:r>
        <w:t>are</w:t>
      </w:r>
      <w:proofErr w:type="gramEnd"/>
      <w:r>
        <w:t xml:space="preserve"> supported for aperiodic SRS carrier switching, although it needs to be further discussed if a UE capability is needed for Rel-17 or not.  As summarized in </w:t>
      </w:r>
      <w:r w:rsidR="00361CF8">
        <w:fldChar w:fldCharType="begin"/>
      </w:r>
      <w:r w:rsidR="00361CF8">
        <w:instrText xml:space="preserve"> REF _Ref146564676 \r \h </w:instrText>
      </w:r>
      <w:r w:rsidR="00361CF8">
        <w:fldChar w:fldCharType="separate"/>
      </w:r>
      <w:r w:rsidR="00FC4662">
        <w:t>[2]</w:t>
      </w:r>
      <w:r w:rsidR="00361CF8">
        <w:fldChar w:fldCharType="end"/>
      </w:r>
      <w:r>
        <w:t xml:space="preserve">, while DCI 1_1 and 1_2 </w:t>
      </w:r>
      <w:proofErr w:type="gramStart"/>
      <w:r>
        <w:t>are</w:t>
      </w:r>
      <w:proofErr w:type="gramEnd"/>
      <w:r>
        <w:t xml:space="preserve"> supported, the </w:t>
      </w:r>
      <w:r w:rsidR="002F1CCD">
        <w:t xml:space="preserve">transmission </w:t>
      </w:r>
      <w:r>
        <w:t xml:space="preserve">behavior and configuration of SRS is not explicitly specified or clear in some cases.  In this contribution, we discuss these open issues, and propose ways forward.  A related draft CR is given in </w:t>
      </w:r>
      <w:r w:rsidR="00361CF8">
        <w:fldChar w:fldCharType="begin"/>
      </w:r>
      <w:r w:rsidR="00361CF8">
        <w:instrText xml:space="preserve"> REF _Ref146564714 \r \h </w:instrText>
      </w:r>
      <w:r w:rsidR="00361CF8">
        <w:fldChar w:fldCharType="separate"/>
      </w:r>
      <w:r w:rsidR="00FC4662">
        <w:t>[3]</w:t>
      </w:r>
      <w:r w:rsidR="00361CF8">
        <w:fldChar w:fldCharType="end"/>
      </w:r>
      <w:r>
        <w:t>.</w:t>
      </w:r>
    </w:p>
    <w:p w14:paraId="60123794" w14:textId="3C8ED1B0" w:rsidR="004000E8" w:rsidRDefault="00230D18" w:rsidP="00CE0424">
      <w:pPr>
        <w:pStyle w:val="Heading1"/>
      </w:pPr>
      <w:bookmarkStart w:id="0" w:name="_Ref178064866"/>
      <w:r>
        <w:t>2</w:t>
      </w:r>
      <w:r>
        <w:tab/>
      </w:r>
      <w:r w:rsidR="004000E8" w:rsidRPr="00CE0424">
        <w:t>Discussion</w:t>
      </w:r>
      <w:bookmarkEnd w:id="0"/>
    </w:p>
    <w:p w14:paraId="62D37658" w14:textId="03F7EC53" w:rsidR="00156561" w:rsidRDefault="00156561" w:rsidP="00156561">
      <w:pPr>
        <w:pStyle w:val="Heading2"/>
        <w:rPr>
          <w:rFonts w:eastAsia="Malgun Gothic"/>
        </w:rPr>
      </w:pPr>
      <w:r>
        <w:rPr>
          <w:rFonts w:eastAsia="Malgun Gothic"/>
        </w:rPr>
        <w:t>2.1 Need for UE capability for support of DCI format 1_1 and 1_</w:t>
      </w:r>
      <w:proofErr w:type="gramStart"/>
      <w:r>
        <w:rPr>
          <w:rFonts w:eastAsia="Malgun Gothic"/>
        </w:rPr>
        <w:t>2</w:t>
      </w:r>
      <w:proofErr w:type="gramEnd"/>
    </w:p>
    <w:p w14:paraId="26A5D414" w14:textId="72C3F679" w:rsidR="009A1C1A" w:rsidRDefault="00B41F28" w:rsidP="00B41F28">
      <w:pPr>
        <w:rPr>
          <w:rFonts w:eastAsia="Malgun Gothic"/>
          <w:lang w:val="en-GB" w:eastAsia="ko-KR"/>
        </w:rPr>
      </w:pPr>
      <w:r>
        <w:rPr>
          <w:rFonts w:eastAsia="Malgun Gothic"/>
          <w:lang w:val="en-GB" w:eastAsia="ko-KR"/>
        </w:rPr>
        <w:t xml:space="preserve">Regarding </w:t>
      </w:r>
      <w:r w:rsidR="009A1C1A">
        <w:rPr>
          <w:rFonts w:eastAsia="Malgun Gothic"/>
          <w:lang w:val="en-GB" w:eastAsia="ko-KR"/>
        </w:rPr>
        <w:t xml:space="preserve">whether UE capability is needed for </w:t>
      </w:r>
      <w:r>
        <w:rPr>
          <w:rFonts w:eastAsia="Malgun Gothic"/>
          <w:lang w:val="en-GB" w:eastAsia="ko-KR"/>
        </w:rPr>
        <w:t xml:space="preserve">support </w:t>
      </w:r>
      <w:r w:rsidR="009A1C1A">
        <w:rPr>
          <w:rFonts w:eastAsia="Malgun Gothic"/>
          <w:lang w:val="en-GB" w:eastAsia="ko-KR"/>
        </w:rPr>
        <w:t xml:space="preserve">of </w:t>
      </w:r>
      <w:r>
        <w:rPr>
          <w:rFonts w:eastAsia="Malgun Gothic"/>
          <w:lang w:val="en-GB" w:eastAsia="ko-KR"/>
        </w:rPr>
        <w:t xml:space="preserve">DCI 1_1 and 1_2 triggering for aperiodic SRS carrier switching, </w:t>
      </w:r>
      <w:r w:rsidR="009A1C1A">
        <w:rPr>
          <w:rFonts w:eastAsia="Malgun Gothic"/>
          <w:lang w:val="en-GB" w:eastAsia="ko-KR"/>
        </w:rPr>
        <w:t xml:space="preserve">in the agreement below from RAN1#114, Alt 1 had strong support, although at least one company needed further consideration until this meeting on if a UE capability would be needed or not.  Therefore, we would like to see if any company prefers Alt 2 at this stage. </w:t>
      </w:r>
    </w:p>
    <w:p w14:paraId="46B83DE3" w14:textId="77777777" w:rsidR="009A1C1A" w:rsidRPr="0022577C" w:rsidRDefault="009A1C1A" w:rsidP="009A1C1A">
      <w:pPr>
        <w:spacing w:after="0" w:line="240" w:lineRule="auto"/>
        <w:ind w:left="567"/>
        <w:rPr>
          <w:rFonts w:ascii="Times" w:eastAsia="Batang" w:hAnsi="Times" w:cs="Times New Roman"/>
          <w:b/>
          <w:bCs/>
          <w:szCs w:val="24"/>
          <w:highlight w:val="green"/>
          <w:lang w:val="en-GB" w:eastAsia="x-none"/>
        </w:rPr>
      </w:pPr>
      <w:r w:rsidRPr="0022577C">
        <w:rPr>
          <w:rFonts w:ascii="Times" w:eastAsia="Batang" w:hAnsi="Times" w:cs="Times New Roman"/>
          <w:b/>
          <w:bCs/>
          <w:szCs w:val="24"/>
          <w:highlight w:val="green"/>
          <w:lang w:val="en-GB" w:eastAsia="x-none"/>
        </w:rPr>
        <w:t>Agreement</w:t>
      </w:r>
    </w:p>
    <w:p w14:paraId="252AF566" w14:textId="77777777" w:rsidR="009A1C1A" w:rsidRPr="0022577C" w:rsidRDefault="009A1C1A" w:rsidP="009A1C1A">
      <w:pPr>
        <w:spacing w:after="0" w:line="240" w:lineRule="auto"/>
        <w:ind w:left="567"/>
        <w:rPr>
          <w:rFonts w:ascii="Times" w:eastAsia="Malgun Gothic" w:hAnsi="Times" w:cs="Times New Roman"/>
          <w:szCs w:val="24"/>
          <w:lang w:val="en-GB" w:eastAsia="ko-KR"/>
        </w:rPr>
      </w:pPr>
      <w:r w:rsidRPr="0022577C">
        <w:rPr>
          <w:rFonts w:ascii="Times" w:eastAsia="Malgun Gothic" w:hAnsi="Times" w:cs="Times New Roman"/>
          <w:szCs w:val="24"/>
          <w:lang w:val="en-GB" w:eastAsia="ko-KR"/>
        </w:rPr>
        <w:t>Select one of the following two alternatives in RAN1#114bis:</w:t>
      </w:r>
    </w:p>
    <w:p w14:paraId="7C150BEA" w14:textId="77777777" w:rsidR="009A1C1A" w:rsidRPr="0022577C" w:rsidRDefault="009A1C1A" w:rsidP="009A1C1A">
      <w:pPr>
        <w:numPr>
          <w:ilvl w:val="0"/>
          <w:numId w:val="23"/>
        </w:numPr>
        <w:spacing w:after="0" w:line="240" w:lineRule="auto"/>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1: RAN1 concludes that DCI 1_1 and 1</w:t>
      </w:r>
      <w:r w:rsidRPr="0022577C">
        <w:rPr>
          <w:rFonts w:ascii="Times" w:eastAsia="Malgun Gothic" w:hAnsi="Times" w:cs="Arial"/>
          <w:szCs w:val="24"/>
          <w:lang w:val="en-GB" w:eastAsia="ko-KR"/>
        </w:rPr>
        <w:t xml:space="preserve">_2 triggering </w:t>
      </w:r>
      <w:proofErr w:type="gramStart"/>
      <w:r w:rsidRPr="0022577C">
        <w:rPr>
          <w:rFonts w:ascii="Times" w:eastAsia="Malgun Gothic" w:hAnsi="Times" w:cs="Arial"/>
          <w:szCs w:val="24"/>
          <w:lang w:val="en-GB" w:eastAsia="ko-KR"/>
        </w:rPr>
        <w:t>are</w:t>
      </w:r>
      <w:proofErr w:type="gramEnd"/>
      <w:r w:rsidRPr="0022577C">
        <w:rPr>
          <w:rFonts w:ascii="Times" w:eastAsia="Malgun Gothic" w:hAnsi="Times" w:cs="Arial"/>
          <w:szCs w:val="24"/>
          <w:lang w:val="en-GB" w:eastAsia="ko-KR"/>
        </w:rPr>
        <w:t xml:space="preserve"> supported for aperiodic SRS carrier switching in Rel-15</w:t>
      </w:r>
    </w:p>
    <w:p w14:paraId="4E77033F" w14:textId="77777777" w:rsidR="009A1C1A" w:rsidRPr="0022577C" w:rsidRDefault="009A1C1A" w:rsidP="009A1C1A">
      <w:pPr>
        <w:numPr>
          <w:ilvl w:val="0"/>
          <w:numId w:val="23"/>
        </w:numPr>
        <w:spacing w:after="0" w:line="240" w:lineRule="auto"/>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2: RAN1 agrees to introduce Rel-17 UE capability signalling related to support of DCI 1_1 and 1</w:t>
      </w:r>
      <w:r w:rsidRPr="0022577C">
        <w:rPr>
          <w:rFonts w:ascii="Times" w:eastAsia="Malgun Gothic" w:hAnsi="Times" w:cs="Arial"/>
          <w:szCs w:val="24"/>
          <w:lang w:val="en-GB" w:eastAsia="ko-KR"/>
        </w:rPr>
        <w:t>_2 triggering for aperiodic SRS carrier switching.</w:t>
      </w:r>
    </w:p>
    <w:p w14:paraId="46C46FD0" w14:textId="6A2C7DFE" w:rsidR="009A1C1A" w:rsidRDefault="009A1C1A" w:rsidP="009A1C1A">
      <w:pPr>
        <w:pStyle w:val="BodyText"/>
      </w:pPr>
    </w:p>
    <w:p w14:paraId="47EA5968" w14:textId="7690A88A" w:rsidR="009A1C1A" w:rsidRDefault="0050516A" w:rsidP="0050516A">
      <w:pPr>
        <w:pStyle w:val="Proposal"/>
      </w:pPr>
      <w:bookmarkStart w:id="1" w:name="_Toc146620958"/>
      <w:r>
        <w:t xml:space="preserve">Determine if there is consensus to conclude that </w:t>
      </w:r>
      <w:r w:rsidRPr="0022577C">
        <w:rPr>
          <w:lang w:val="en-GB"/>
        </w:rPr>
        <w:t>Rel-17 UE capability</w:t>
      </w:r>
      <w:r>
        <w:rPr>
          <w:lang w:val="en-GB"/>
        </w:rPr>
        <w:t xml:space="preserve"> is not needed for the support of </w:t>
      </w:r>
      <w:r w:rsidRPr="0022577C">
        <w:rPr>
          <w:lang w:val="en-GB"/>
        </w:rPr>
        <w:t>DCI 1_1 and 1</w:t>
      </w:r>
      <w:r w:rsidRPr="0022577C">
        <w:rPr>
          <w:rFonts w:cs="Arial"/>
          <w:lang w:val="en-GB"/>
        </w:rPr>
        <w:t>_2 triggering for aperiodic SRS carrier switching</w:t>
      </w:r>
      <w:r>
        <w:rPr>
          <w:rFonts w:cs="Arial"/>
          <w:lang w:val="en-GB"/>
        </w:rPr>
        <w:t>.</w:t>
      </w:r>
      <w:bookmarkEnd w:id="1"/>
    </w:p>
    <w:p w14:paraId="2EEE93C9" w14:textId="02A78CF6" w:rsidR="00351F32" w:rsidRDefault="00351F32" w:rsidP="00B41F28">
      <w:pPr>
        <w:spacing w:after="0"/>
      </w:pPr>
    </w:p>
    <w:p w14:paraId="69CD101D" w14:textId="70597047" w:rsidR="00156561" w:rsidRDefault="00156561" w:rsidP="00156561">
      <w:pPr>
        <w:pStyle w:val="Heading2"/>
      </w:pPr>
      <w:r>
        <w:lastRenderedPageBreak/>
        <w:t>2.2 SRS configuration and transmission constraints</w:t>
      </w:r>
    </w:p>
    <w:p w14:paraId="70D77A07" w14:textId="5931E28D" w:rsidR="00351F32" w:rsidRDefault="00351F32" w:rsidP="00B41F28">
      <w:pPr>
        <w:spacing w:after="0"/>
      </w:pPr>
      <w:r>
        <w:t xml:space="preserve">It was agreed in RAN1#114 to clarify optional parameters SRS carrier with the following.  </w:t>
      </w:r>
    </w:p>
    <w:p w14:paraId="7C3F819E" w14:textId="7357ADE6" w:rsidR="00351F32" w:rsidRPr="003A50F3" w:rsidRDefault="00351F32" w:rsidP="00351F32"/>
    <w:tbl>
      <w:tblPr>
        <w:tblStyle w:val="TableGrid"/>
        <w:tblW w:w="0" w:type="auto"/>
        <w:tblLook w:val="04A0" w:firstRow="1" w:lastRow="0" w:firstColumn="1" w:lastColumn="0" w:noHBand="0" w:noVBand="1"/>
      </w:tblPr>
      <w:tblGrid>
        <w:gridCol w:w="9629"/>
      </w:tblGrid>
      <w:tr w:rsidR="00351F32" w14:paraId="693CE6D5" w14:textId="77777777" w:rsidTr="00A468B4">
        <w:tc>
          <w:tcPr>
            <w:tcW w:w="9629" w:type="dxa"/>
          </w:tcPr>
          <w:p w14:paraId="2B5C8163" w14:textId="77777777" w:rsidR="00351F32" w:rsidRPr="00D90D00" w:rsidRDefault="00351F32" w:rsidP="00A468B4">
            <w:pPr>
              <w:keepNext/>
              <w:keepLines/>
              <w:spacing w:before="180" w:after="180" w:line="240" w:lineRule="auto"/>
              <w:ind w:left="1134" w:hanging="1134"/>
              <w:outlineLvl w:val="1"/>
              <w:rPr>
                <w:rFonts w:eastAsia="SimSun" w:cs="Times New Roman"/>
                <w:sz w:val="32"/>
                <w:szCs w:val="20"/>
                <w:lang w:val="en-GB" w:eastAsia="zh-CN"/>
              </w:rPr>
            </w:pPr>
            <w:r w:rsidRPr="00D90D00">
              <w:rPr>
                <w:rFonts w:eastAsia="SimSun" w:cs="Times New Roman"/>
                <w:sz w:val="32"/>
                <w:szCs w:val="20"/>
                <w:lang w:val="en-GB" w:eastAsia="zh-CN"/>
              </w:rPr>
              <w:t>11.4</w:t>
            </w:r>
            <w:r w:rsidRPr="00D90D00">
              <w:rPr>
                <w:rFonts w:eastAsia="SimSun" w:cs="Times New Roman"/>
                <w:sz w:val="32"/>
                <w:szCs w:val="20"/>
                <w:lang w:val="en-GB" w:eastAsia="zh-CN"/>
              </w:rPr>
              <w:tab/>
              <w:t>SRS switching</w:t>
            </w:r>
          </w:p>
          <w:p w14:paraId="16DC7787" w14:textId="77777777" w:rsidR="00351F32" w:rsidRPr="00D90D00" w:rsidRDefault="00351F32" w:rsidP="00A468B4">
            <w:pPr>
              <w:spacing w:after="180" w:line="240" w:lineRule="auto"/>
              <w:rPr>
                <w:rFonts w:ascii="Times New Roman" w:eastAsia="SimSun" w:hAnsi="Times New Roman" w:cs="Times New Roman"/>
                <w:szCs w:val="20"/>
              </w:rPr>
            </w:pPr>
            <w:r w:rsidRPr="00D90D00">
              <w:rPr>
                <w:rFonts w:ascii="Times New Roman" w:eastAsia="SimSun" w:hAnsi="Times New Roman" w:cs="Times New Roman"/>
                <w:szCs w:val="20"/>
                <w:lang w:val="en-GB" w:eastAsia="zh-CN"/>
              </w:rPr>
              <w:t xml:space="preserve">DCI format 2_3 is applicable for </w:t>
            </w:r>
            <w:r w:rsidRPr="00D90D00">
              <w:rPr>
                <w:rFonts w:ascii="Times New Roman" w:eastAsia="SimSun" w:hAnsi="Times New Roman" w:cs="Times New Roman" w:hint="eastAsia"/>
                <w:szCs w:val="20"/>
                <w:lang w:val="en-GB" w:eastAsia="zh-CN"/>
              </w:rPr>
              <w:t xml:space="preserve">uplink carrier(s) of </w:t>
            </w:r>
            <w:r w:rsidRPr="00D90D00">
              <w:rPr>
                <w:rFonts w:ascii="Times New Roman" w:eastAsia="SimSun" w:hAnsi="Times New Roman" w:cs="Times New Roman"/>
                <w:szCs w:val="20"/>
                <w:lang w:val="en-GB" w:eastAsia="zh-CN"/>
              </w:rPr>
              <w:t xml:space="preserve">serving cells </w:t>
            </w:r>
            <w:r w:rsidRPr="00D90D00">
              <w:rPr>
                <w:rFonts w:ascii="Times New Roman" w:eastAsia="SimSun" w:hAnsi="Times New Roman" w:cs="Times New Roman"/>
                <w:szCs w:val="20"/>
                <w:lang w:val="en-GB"/>
              </w:rPr>
              <w:t xml:space="preserve">where a UE is not configured for PUSCH/PUCCH transmission or for </w:t>
            </w:r>
            <w:r w:rsidRPr="00D90D00">
              <w:rPr>
                <w:rFonts w:ascii="Times New Roman" w:eastAsia="SimSun" w:hAnsi="Times New Roman" w:cs="Times New Roman" w:hint="eastAsia"/>
                <w:szCs w:val="20"/>
                <w:lang w:val="en-GB" w:eastAsia="zh-CN"/>
              </w:rPr>
              <w:t>uplink carrier(s) of</w:t>
            </w:r>
            <w:r w:rsidRPr="00D90D00">
              <w:rPr>
                <w:rFonts w:ascii="Times New Roman" w:eastAsia="SimSun" w:hAnsi="Times New Roman" w:cs="Times New Roman"/>
                <w:szCs w:val="20"/>
                <w:lang w:val="en-GB"/>
              </w:rPr>
              <w:t xml:space="preserve"> a serving cell where</w:t>
            </w:r>
            <w:r w:rsidRPr="00D90D00">
              <w:rPr>
                <w:rFonts w:ascii="Times New Roman" w:eastAsia="SimSun" w:hAnsi="Times New Roman" w:cs="Times New Roman"/>
                <w:szCs w:val="20"/>
              </w:rPr>
              <w:t xml:space="preserve"> </w:t>
            </w:r>
            <w:proofErr w:type="spellStart"/>
            <w:r w:rsidRPr="00D90D00">
              <w:rPr>
                <w:rFonts w:ascii="Times New Roman" w:eastAsia="SimSun" w:hAnsi="Times New Roman" w:cs="Times New Roman"/>
                <w:i/>
                <w:szCs w:val="20"/>
                <w:lang w:val="en-GB"/>
              </w:rPr>
              <w:t>srs-PowerControlAdjustmentStates</w:t>
            </w:r>
            <w:proofErr w:type="spellEnd"/>
            <w:r w:rsidRPr="00D90D00">
              <w:rPr>
                <w:rFonts w:ascii="Times New Roman" w:eastAsia="SimSun" w:hAnsi="Times New Roman" w:cs="Times New Roman"/>
                <w:szCs w:val="20"/>
              </w:rPr>
              <w:t xml:space="preserve"> indicates a separate power control adjustment state between SRS transmissions and PUSCH transmissions. </w:t>
            </w:r>
          </w:p>
          <w:p w14:paraId="22E2313D" w14:textId="77777777" w:rsidR="00351F32" w:rsidRPr="00D90D00" w:rsidRDefault="00351F32" w:rsidP="00A468B4">
            <w:pPr>
              <w:spacing w:after="180" w:line="240" w:lineRule="auto"/>
              <w:rPr>
                <w:rFonts w:ascii="Times New Roman" w:eastAsia="SimSun" w:hAnsi="Times New Roman" w:cs="Times New Roman"/>
                <w:szCs w:val="20"/>
                <w:lang w:val="en-GB" w:eastAsia="zh-CN"/>
              </w:rPr>
            </w:pPr>
            <w:r w:rsidRPr="00D90D00">
              <w:rPr>
                <w:rFonts w:ascii="Times New Roman" w:eastAsia="SimSun" w:hAnsi="Times New Roman" w:cs="Times New Roman"/>
                <w:szCs w:val="20"/>
                <w:lang w:val="en-GB" w:eastAsia="zh-CN"/>
              </w:rPr>
              <w:t xml:space="preserve">A UE configured by higher layers with parameter </w:t>
            </w:r>
            <w:proofErr w:type="spellStart"/>
            <w:r w:rsidRPr="00D90D00">
              <w:rPr>
                <w:rFonts w:ascii="Times New Roman" w:eastAsia="SimSun" w:hAnsi="Times New Roman" w:cs="Times New Roman"/>
                <w:i/>
                <w:szCs w:val="20"/>
                <w:lang w:val="en-GB"/>
              </w:rPr>
              <w:t>carrierSwitching</w:t>
            </w:r>
            <w:proofErr w:type="spellEnd"/>
            <w:r w:rsidRPr="00D90D00">
              <w:rPr>
                <w:rFonts w:ascii="Times New Roman" w:eastAsia="SimSun" w:hAnsi="Times New Roman" w:cs="Times New Roman"/>
                <w:strike/>
                <w:szCs w:val="20"/>
              </w:rPr>
              <w:t xml:space="preserve"> </w:t>
            </w:r>
            <w:proofErr w:type="gramStart"/>
            <w:r w:rsidRPr="00623BBA">
              <w:rPr>
                <w:rFonts w:ascii="Times New Roman" w:eastAsia="SimSun" w:hAnsi="Times New Roman" w:cs="Times New Roman"/>
                <w:strike/>
                <w:color w:val="FF0000"/>
                <w:szCs w:val="20"/>
                <w:highlight w:val="yellow"/>
              </w:rPr>
              <w:t>is</w:t>
            </w:r>
            <w:r w:rsidRPr="00623BBA">
              <w:rPr>
                <w:rFonts w:ascii="Times New Roman" w:eastAsia="SimSun" w:hAnsi="Times New Roman" w:cs="Times New Roman"/>
                <w:color w:val="FF0000"/>
                <w:szCs w:val="20"/>
                <w:highlight w:val="yellow"/>
              </w:rPr>
              <w:t xml:space="preserve"> </w:t>
            </w:r>
            <w:r w:rsidRPr="00623BBA">
              <w:rPr>
                <w:rFonts w:ascii="Times New Roman" w:eastAsia="SimSun" w:hAnsi="Times New Roman" w:cs="Times New Roman"/>
                <w:color w:val="FF0000"/>
                <w:szCs w:val="20"/>
                <w:highlight w:val="yellow"/>
                <w:u w:val="single"/>
              </w:rPr>
              <w:t>can be</w:t>
            </w:r>
            <w:proofErr w:type="gramEnd"/>
            <w:r w:rsidRPr="00D90D00">
              <w:rPr>
                <w:rFonts w:ascii="Times New Roman" w:eastAsia="SimSun" w:hAnsi="Times New Roman" w:cs="Times New Roman"/>
                <w:szCs w:val="20"/>
              </w:rPr>
              <w:t xml:space="preserve"> provided </w:t>
            </w:r>
          </w:p>
          <w:p w14:paraId="5A87B7AB" w14:textId="77777777" w:rsidR="00351F32" w:rsidRPr="003A50F3" w:rsidRDefault="00351F32" w:rsidP="00A468B4">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 TPC-SRS-RNTI for a DCI format 2_3 by </w:t>
            </w:r>
            <w:proofErr w:type="spellStart"/>
            <w:r w:rsidRPr="003A50F3">
              <w:rPr>
                <w:rFonts w:ascii="Times New Roman" w:eastAsia="SimSun" w:hAnsi="Times New Roman" w:cs="Times New Roman"/>
                <w:i/>
                <w:szCs w:val="20"/>
              </w:rPr>
              <w:t>tpc</w:t>
            </w:r>
            <w:proofErr w:type="spellEnd"/>
            <w:r w:rsidRPr="003A50F3">
              <w:rPr>
                <w:rFonts w:ascii="Times New Roman" w:eastAsia="SimSun" w:hAnsi="Times New Roman" w:cs="Times New Roman"/>
                <w:i/>
                <w:szCs w:val="20"/>
                <w:lang w:val="x-none"/>
              </w:rPr>
              <w:t>-</w:t>
            </w:r>
            <w:r w:rsidRPr="003A50F3">
              <w:rPr>
                <w:rFonts w:ascii="Times New Roman" w:eastAsia="SimSun" w:hAnsi="Times New Roman" w:cs="Times New Roman"/>
                <w:i/>
                <w:szCs w:val="20"/>
              </w:rPr>
              <w:t>SRS</w:t>
            </w:r>
            <w:r w:rsidRPr="003A50F3">
              <w:rPr>
                <w:rFonts w:ascii="Times New Roman" w:eastAsia="SimSun" w:hAnsi="Times New Roman" w:cs="Times New Roman"/>
                <w:i/>
                <w:szCs w:val="20"/>
                <w:lang w:val="x-none"/>
              </w:rPr>
              <w:t>-RNTI</w:t>
            </w:r>
            <w:r w:rsidRPr="003A50F3">
              <w:rPr>
                <w:rFonts w:ascii="Times New Roman" w:eastAsia="SimSun" w:hAnsi="Times New Roman" w:cs="Times New Roman"/>
                <w:szCs w:val="20"/>
                <w:lang w:val="x-none"/>
              </w:rPr>
              <w:t xml:space="preserve"> </w:t>
            </w:r>
          </w:p>
          <w:p w14:paraId="239DF20A" w14:textId="77777777" w:rsidR="00351F32" w:rsidRPr="003A50F3" w:rsidRDefault="00351F32" w:rsidP="00A468B4">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an index of a serving cell where the UE interrupts transmission in order to transmit SRS on one or more other serving cells by </w:t>
            </w:r>
            <w:proofErr w:type="spellStart"/>
            <w:r w:rsidRPr="003A50F3">
              <w:rPr>
                <w:rFonts w:ascii="Times New Roman" w:eastAsia="SimSun" w:hAnsi="Times New Roman" w:cs="Times New Roman"/>
                <w:i/>
                <w:szCs w:val="20"/>
                <w:lang w:val="x-none"/>
              </w:rPr>
              <w:t>srs-SwitchFromServCellIndex</w:t>
            </w:r>
            <w:proofErr w:type="spellEnd"/>
          </w:p>
          <w:p w14:paraId="7D5B3814" w14:textId="77777777" w:rsidR="00351F32" w:rsidRPr="003A50F3" w:rsidRDefault="00351F32" w:rsidP="00A468B4">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w:t>
            </w:r>
            <w:r w:rsidRPr="003A50F3">
              <w:rPr>
                <w:rFonts w:ascii="Times New Roman" w:eastAsia="SimSun" w:hAnsi="Times New Roman" w:cs="Times New Roman" w:hint="eastAsia"/>
                <w:szCs w:val="20"/>
                <w:lang w:val="x-none" w:eastAsia="zh-CN"/>
              </w:rPr>
              <w:t xml:space="preserve">n indication of an uplink carrier where the UE </w:t>
            </w:r>
            <w:r w:rsidRPr="003A50F3">
              <w:rPr>
                <w:rFonts w:ascii="Times New Roman" w:eastAsia="SimSun" w:hAnsi="Times New Roman" w:cs="Times New Roman"/>
                <w:szCs w:val="20"/>
                <w:lang w:val="x-none"/>
              </w:rPr>
              <w:t>interrupts transmission in order to transmit SRS on one or more other serving cells</w:t>
            </w:r>
            <w:r w:rsidRPr="003A50F3">
              <w:rPr>
                <w:rFonts w:ascii="Times New Roman" w:eastAsia="SimSun" w:hAnsi="Times New Roman" w:cs="Times New Roman" w:hint="eastAsia"/>
                <w:szCs w:val="20"/>
                <w:lang w:val="x-none" w:eastAsia="zh-CN"/>
              </w:rPr>
              <w:t xml:space="preserve"> by </w:t>
            </w:r>
            <w:proofErr w:type="spellStart"/>
            <w:r w:rsidRPr="003A50F3">
              <w:rPr>
                <w:rFonts w:ascii="Times New Roman" w:eastAsia="SimSun" w:hAnsi="Times New Roman" w:cs="Times New Roman"/>
                <w:i/>
                <w:szCs w:val="20"/>
                <w:lang w:val="x-none"/>
              </w:rPr>
              <w:t>srs-SwitchFromCarrier</w:t>
            </w:r>
            <w:proofErr w:type="spellEnd"/>
          </w:p>
          <w:p w14:paraId="2F835E4A" w14:textId="77777777" w:rsidR="00351F32" w:rsidRPr="003A50F3" w:rsidRDefault="00351F32" w:rsidP="00A468B4">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 DCI format 2_3 field configuration type by </w:t>
            </w:r>
            <w:proofErr w:type="spellStart"/>
            <w:r w:rsidRPr="003A50F3">
              <w:rPr>
                <w:rFonts w:ascii="Times New Roman" w:eastAsia="SimSun" w:hAnsi="Times New Roman" w:cs="Times New Roman"/>
                <w:i/>
                <w:szCs w:val="20"/>
                <w:lang w:val="x-none"/>
              </w:rPr>
              <w:t>typeA</w:t>
            </w:r>
            <w:proofErr w:type="spellEnd"/>
            <w:r w:rsidRPr="003A50F3">
              <w:rPr>
                <w:rFonts w:ascii="Times New Roman" w:eastAsia="SimSun" w:hAnsi="Times New Roman" w:cs="Times New Roman"/>
                <w:szCs w:val="20"/>
                <w:lang w:val="x-none"/>
              </w:rPr>
              <w:t xml:space="preserve"> or </w:t>
            </w:r>
            <w:proofErr w:type="spellStart"/>
            <w:r w:rsidRPr="003A50F3">
              <w:rPr>
                <w:rFonts w:ascii="Times New Roman" w:eastAsia="SimSun" w:hAnsi="Times New Roman" w:cs="Times New Roman"/>
                <w:i/>
                <w:szCs w:val="20"/>
                <w:lang w:val="x-none"/>
              </w:rPr>
              <w:t>typeB</w:t>
            </w:r>
            <w:proofErr w:type="spellEnd"/>
          </w:p>
          <w:p w14:paraId="5DC4FCA5" w14:textId="77777777" w:rsidR="00351F32" w:rsidRPr="003A50F3" w:rsidRDefault="00351F32" w:rsidP="00A468B4">
            <w:pPr>
              <w:spacing w:after="180" w:line="240" w:lineRule="auto"/>
              <w:ind w:left="851"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for </w:t>
            </w:r>
            <w:proofErr w:type="spellStart"/>
            <w:r w:rsidRPr="003A50F3">
              <w:rPr>
                <w:rFonts w:ascii="Times New Roman" w:eastAsia="SimSun" w:hAnsi="Times New Roman" w:cs="Times New Roman"/>
                <w:i/>
                <w:szCs w:val="20"/>
                <w:lang w:val="x-none"/>
              </w:rPr>
              <w:t>typeA</w:t>
            </w:r>
            <w:proofErr w:type="spellEnd"/>
            <w:r w:rsidRPr="003A50F3">
              <w:rPr>
                <w:rFonts w:ascii="Times New Roman" w:eastAsia="SimSun" w:hAnsi="Times New Roman" w:cs="Times New Roman"/>
                <w:szCs w:val="20"/>
                <w:lang w:val="x-none"/>
              </w:rPr>
              <w:t xml:space="preserve">, an index for a set of serving cells is provided by </w:t>
            </w:r>
            <w:r w:rsidRPr="003A50F3">
              <w:rPr>
                <w:rFonts w:ascii="Times New Roman" w:eastAsia="SimSun" w:hAnsi="Times New Roman" w:cs="Times New Roman"/>
                <w:i/>
                <w:szCs w:val="20"/>
                <w:lang w:val="x-none"/>
              </w:rPr>
              <w:t>cc-</w:t>
            </w:r>
            <w:proofErr w:type="spellStart"/>
            <w:r w:rsidRPr="003A50F3">
              <w:rPr>
                <w:rFonts w:ascii="Times New Roman" w:eastAsia="SimSun" w:hAnsi="Times New Roman" w:cs="Times New Roman"/>
                <w:i/>
                <w:szCs w:val="20"/>
                <w:lang w:val="x-none"/>
              </w:rPr>
              <w:t>SetIndex</w:t>
            </w:r>
            <w:proofErr w:type="spellEnd"/>
            <w:r w:rsidRPr="003A50F3">
              <w:rPr>
                <w:rFonts w:ascii="Times New Roman" w:eastAsia="SimSun" w:hAnsi="Times New Roman" w:cs="Times New Roman"/>
                <w:szCs w:val="20"/>
                <w:lang w:val="x-none"/>
              </w:rPr>
              <w:t xml:space="preserve">, indexes of serving cells in the set of serving cells are provided by </w:t>
            </w:r>
            <w:r w:rsidRPr="003A50F3">
              <w:rPr>
                <w:rFonts w:ascii="Times New Roman" w:eastAsia="SimSun" w:hAnsi="Times New Roman" w:cs="Times New Roman"/>
                <w:i/>
                <w:szCs w:val="20"/>
                <w:lang w:val="x-none"/>
              </w:rPr>
              <w:t>cc-</w:t>
            </w:r>
            <w:proofErr w:type="spellStart"/>
            <w:r w:rsidRPr="003A50F3">
              <w:rPr>
                <w:rFonts w:ascii="Times New Roman" w:eastAsia="SimSun" w:hAnsi="Times New Roman" w:cs="Times New Roman"/>
                <w:i/>
                <w:szCs w:val="20"/>
                <w:lang w:val="x-none"/>
              </w:rPr>
              <w:t>IndexInOneCC</w:t>
            </w:r>
            <w:proofErr w:type="spellEnd"/>
            <w:r w:rsidRPr="003A50F3">
              <w:rPr>
                <w:rFonts w:ascii="Times New Roman" w:eastAsia="SimSun" w:hAnsi="Times New Roman" w:cs="Times New Roman"/>
                <w:i/>
                <w:szCs w:val="20"/>
                <w:lang w:val="x-none"/>
              </w:rPr>
              <w:t>-Set</w:t>
            </w:r>
            <w:r w:rsidRPr="003A50F3">
              <w:rPr>
                <w:rFonts w:ascii="Times New Roman" w:eastAsia="SimSun" w:hAnsi="Times New Roman" w:cs="Times New Roman"/>
                <w:szCs w:val="20"/>
                <w:lang w:val="x-none"/>
              </w:rPr>
              <w:t xml:space="preserve">, and a DCI format 2_3 field includes a TPC command for each serving cell from the set of serving cells and can also include a SRS request for SRS transmission on the set of serving cells </w:t>
            </w:r>
          </w:p>
          <w:p w14:paraId="691D35E2" w14:textId="77777777" w:rsidR="00351F32" w:rsidRPr="003A50F3" w:rsidRDefault="00351F32" w:rsidP="00A468B4">
            <w:pPr>
              <w:spacing w:after="180" w:line="240" w:lineRule="auto"/>
              <w:ind w:left="851"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for </w:t>
            </w:r>
            <w:proofErr w:type="spellStart"/>
            <w:r w:rsidRPr="003A50F3">
              <w:rPr>
                <w:rFonts w:ascii="Times New Roman" w:eastAsia="SimSun" w:hAnsi="Times New Roman" w:cs="Times New Roman"/>
                <w:i/>
                <w:szCs w:val="20"/>
                <w:lang w:val="x-none"/>
              </w:rPr>
              <w:t>typeB</w:t>
            </w:r>
            <w:proofErr w:type="spellEnd"/>
            <w:r w:rsidRPr="003A50F3">
              <w:rPr>
                <w:rFonts w:ascii="Times New Roman" w:eastAsia="SimSun" w:hAnsi="Times New Roman" w:cs="Times New Roman"/>
                <w:szCs w:val="20"/>
                <w:lang w:val="x-none"/>
              </w:rPr>
              <w:t>, DCI format 2_3 field includes a TPC command for a serving cell index and can also include a SRS request for SRS transmission on the serving cell</w:t>
            </w:r>
          </w:p>
          <w:p w14:paraId="20A9072E" w14:textId="77777777" w:rsidR="00351F32" w:rsidRPr="003A50F3" w:rsidRDefault="00351F32" w:rsidP="00A468B4">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an indication for a serving cell for whether or not a field in DCI format 2_3 includes a SRS request by </w:t>
            </w:r>
            <w:r w:rsidRPr="003A50F3">
              <w:rPr>
                <w:rFonts w:ascii="Times New Roman" w:eastAsia="SimSun" w:hAnsi="Times New Roman" w:cs="Times New Roman"/>
                <w:i/>
                <w:szCs w:val="20"/>
                <w:lang w:val="x-none"/>
              </w:rPr>
              <w:t>fieldTypeFormat2-3</w:t>
            </w:r>
            <w:r w:rsidRPr="003A50F3">
              <w:rPr>
                <w:rFonts w:ascii="Times New Roman" w:eastAsia="SimSun" w:hAnsi="Times New Roman" w:cs="Times New Roman"/>
                <w:szCs w:val="20"/>
                <w:lang w:val="x-none"/>
              </w:rPr>
              <w:t xml:space="preserve"> where a value of 0/1 indicates absence/presence of the SRS request – a mapping for a 2 bit SRS request to SRS resource sets is as provided in [6, TS 38.214]</w:t>
            </w:r>
          </w:p>
          <w:p w14:paraId="0F852EA7" w14:textId="77777777" w:rsidR="00351F32" w:rsidRPr="003A50F3" w:rsidRDefault="00351F32" w:rsidP="00A468B4">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an index for a location in DCI format 2_3 of a first bit for a field for a</w:t>
            </w:r>
            <w:r w:rsidRPr="003A50F3">
              <w:rPr>
                <w:rFonts w:ascii="Times New Roman" w:eastAsia="SimSun" w:hAnsi="Times New Roman" w:cs="Times New Roman" w:hint="eastAsia"/>
                <w:szCs w:val="20"/>
                <w:lang w:val="x-none" w:eastAsia="zh-CN"/>
              </w:rPr>
              <w:t xml:space="preserve"> non-supplementary</w:t>
            </w:r>
            <w:r w:rsidRPr="003A50F3">
              <w:rPr>
                <w:rFonts w:ascii="Times New Roman" w:eastAsia="SimSun" w:hAnsi="Times New Roman" w:cs="Times New Roman"/>
                <w:szCs w:val="20"/>
                <w:lang w:val="x-none"/>
              </w:rPr>
              <w:t xml:space="preserve"> uplink carrier of the serving cell by </w:t>
            </w:r>
            <w:r w:rsidRPr="003A50F3">
              <w:rPr>
                <w:rFonts w:ascii="Times New Roman" w:eastAsia="SimSun" w:hAnsi="Times New Roman" w:cs="Times New Roman"/>
                <w:i/>
                <w:szCs w:val="20"/>
                <w:lang w:val="x-none"/>
              </w:rPr>
              <w:t>startingBitOfFormat2-3</w:t>
            </w:r>
          </w:p>
          <w:p w14:paraId="035B8654" w14:textId="77777777" w:rsidR="00351F32" w:rsidRPr="00D90D00" w:rsidRDefault="00351F32" w:rsidP="00A468B4">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an index for a location in DCI format 2_3 of a first bit for a field for a</w:t>
            </w:r>
            <w:r w:rsidRPr="003A50F3">
              <w:rPr>
                <w:rFonts w:ascii="Times New Roman" w:eastAsia="SimSun" w:hAnsi="Times New Roman" w:cs="Times New Roman" w:hint="eastAsia"/>
                <w:szCs w:val="20"/>
                <w:lang w:val="x-none" w:eastAsia="zh-CN"/>
              </w:rPr>
              <w:t xml:space="preserve"> supplementary</w:t>
            </w:r>
            <w:r w:rsidRPr="003A50F3">
              <w:rPr>
                <w:rFonts w:ascii="Times New Roman" w:eastAsia="SimSun" w:hAnsi="Times New Roman" w:cs="Times New Roman"/>
                <w:szCs w:val="20"/>
                <w:lang w:val="x-none"/>
              </w:rPr>
              <w:t xml:space="preserve"> uplink carrier of the serving cell by </w:t>
            </w:r>
            <w:r w:rsidRPr="003A50F3">
              <w:rPr>
                <w:rFonts w:ascii="Times New Roman" w:eastAsia="SimSun" w:hAnsi="Times New Roman" w:cs="Times New Roman"/>
                <w:i/>
                <w:szCs w:val="20"/>
                <w:lang w:val="x-none" w:eastAsia="zh-CN"/>
              </w:rPr>
              <w:t>startingBitOfFormat2-3SUL-v1530</w:t>
            </w:r>
          </w:p>
        </w:tc>
      </w:tr>
    </w:tbl>
    <w:p w14:paraId="60705A8F" w14:textId="77777777" w:rsidR="00351F32" w:rsidRDefault="00351F32" w:rsidP="00351F32">
      <w:pPr>
        <w:spacing w:after="0"/>
        <w:rPr>
          <w:rFonts w:eastAsia="Malgun Gothic" w:cs="Arial"/>
          <w:lang w:val="en-GB" w:eastAsia="ko-KR"/>
        </w:rPr>
      </w:pPr>
    </w:p>
    <w:p w14:paraId="6EE317B0" w14:textId="530D284C" w:rsidR="00E11FA0" w:rsidRDefault="00351F32" w:rsidP="00B41F28">
      <w:pPr>
        <w:spacing w:after="0"/>
      </w:pPr>
      <w:r>
        <w:t xml:space="preserve">However, there are remaining aspects that are not explicitly specified in the layer 1 specifications.  </w:t>
      </w:r>
      <w:proofErr w:type="gramStart"/>
      <w:r>
        <w:t>In particular, how</w:t>
      </w:r>
      <w:proofErr w:type="gramEnd"/>
      <w:r w:rsidRPr="00351F32">
        <w:t xml:space="preserve"> aperiodic SRS carrier switching triggered by DCI format 1_1 or 1_2 is configured and on which </w:t>
      </w:r>
      <w:r w:rsidR="001E6FA6">
        <w:t xml:space="preserve">or how many </w:t>
      </w:r>
      <w:r w:rsidRPr="00351F32">
        <w:t xml:space="preserve">cells the SRS is transmitted is unclear. </w:t>
      </w:r>
    </w:p>
    <w:p w14:paraId="309D94A0" w14:textId="77777777" w:rsidR="00E11FA0" w:rsidRDefault="00E11FA0" w:rsidP="00B41F28">
      <w:pPr>
        <w:spacing w:after="0"/>
      </w:pPr>
    </w:p>
    <w:p w14:paraId="5669FC7A" w14:textId="3EAC6551" w:rsidR="00351F32" w:rsidRDefault="00351F32" w:rsidP="00B41F28">
      <w:pPr>
        <w:spacing w:after="0"/>
      </w:pPr>
      <w:r>
        <w:t xml:space="preserve">For </w:t>
      </w:r>
      <w:r w:rsidRPr="00351F32">
        <w:t>DCI 2_3 (in 38.214</w:t>
      </w:r>
      <w:r>
        <w:t xml:space="preserve"> section 6.2.1.3</w:t>
      </w:r>
      <w:r w:rsidRPr="00351F32">
        <w:t xml:space="preserve">), </w:t>
      </w:r>
      <w:r w:rsidRPr="00351F32">
        <w:rPr>
          <w:highlight w:val="yellow"/>
        </w:rPr>
        <w:t>requirements</w:t>
      </w:r>
      <w:r>
        <w:t xml:space="preserve"> for SRS resource sets with carrier switching </w:t>
      </w:r>
      <w:r w:rsidR="001E6FA6">
        <w:t xml:space="preserve">and the </w:t>
      </w:r>
      <w:r w:rsidR="001E6FA6" w:rsidRPr="001E6FA6">
        <w:rPr>
          <w:highlight w:val="cyan"/>
        </w:rPr>
        <w:t>order of the cells on which the UE transmits SRS</w:t>
      </w:r>
      <w:r>
        <w:t xml:space="preserve"> </w:t>
      </w:r>
      <w:r w:rsidR="001E6FA6">
        <w:t xml:space="preserve">are given </w:t>
      </w:r>
      <w:r>
        <w:t>with the following</w:t>
      </w:r>
      <w:r w:rsidR="008605CA">
        <w:t xml:space="preserve">, but not for DCI 1_1 or 1_2.  </w:t>
      </w:r>
    </w:p>
    <w:p w14:paraId="32E1B359" w14:textId="77777777" w:rsidR="00351F32" w:rsidRDefault="00351F32" w:rsidP="00B41F28">
      <w:pPr>
        <w:spacing w:after="0"/>
      </w:pPr>
    </w:p>
    <w:tbl>
      <w:tblPr>
        <w:tblStyle w:val="TableGrid"/>
        <w:tblW w:w="0" w:type="auto"/>
        <w:tblLook w:val="04A0" w:firstRow="1" w:lastRow="0" w:firstColumn="1" w:lastColumn="0" w:noHBand="0" w:noVBand="1"/>
      </w:tblPr>
      <w:tblGrid>
        <w:gridCol w:w="9629"/>
      </w:tblGrid>
      <w:tr w:rsidR="00351F32" w14:paraId="216E8F32" w14:textId="77777777" w:rsidTr="00351F32">
        <w:tc>
          <w:tcPr>
            <w:tcW w:w="9629" w:type="dxa"/>
          </w:tcPr>
          <w:p w14:paraId="364FCFBD" w14:textId="77777777" w:rsidR="00351F32" w:rsidRDefault="00351F32" w:rsidP="00B41F28">
            <w:pPr>
              <w:spacing w:after="0"/>
              <w:rPr>
                <w:rFonts w:ascii="Times New Roman" w:eastAsia="Times New Roman" w:hAnsi="Times New Roman" w:cs="Times New Roman"/>
                <w:color w:val="000000"/>
                <w:sz w:val="20"/>
              </w:rPr>
            </w:pPr>
            <w:r w:rsidRPr="00351F32">
              <w:rPr>
                <w:rFonts w:ascii="Times New Roman" w:eastAsia="Times New Roman" w:hAnsi="Times New Roman" w:cs="Times New Roman"/>
                <w:color w:val="000000"/>
                <w:sz w:val="20"/>
              </w:rPr>
              <w:t xml:space="preserve">For an </w:t>
            </w:r>
            <w:r w:rsidRPr="00773776">
              <w:rPr>
                <w:rFonts w:ascii="Times New Roman" w:eastAsia="Times New Roman" w:hAnsi="Times New Roman" w:cs="Times New Roman"/>
                <w:color w:val="000000"/>
                <w:sz w:val="20"/>
                <w:highlight w:val="yellow"/>
              </w:rPr>
              <w:t>aperiodic SRS triggered in DCI format 2_3</w:t>
            </w:r>
            <w:r w:rsidRPr="00351F32">
              <w:rPr>
                <w:rFonts w:ascii="Times New Roman" w:eastAsia="Times New Roman" w:hAnsi="Times New Roman" w:cs="Times New Roman"/>
                <w:color w:val="000000"/>
                <w:sz w:val="20"/>
              </w:rPr>
              <w:t xml:space="preserve"> and if the UE is configured with higher layer parameter </w:t>
            </w:r>
            <w:proofErr w:type="spellStart"/>
            <w:r w:rsidRPr="00351F32">
              <w:rPr>
                <w:rFonts w:ascii="Times New Roman" w:eastAsia="Times New Roman" w:hAnsi="Times New Roman" w:cs="Times New Roman"/>
                <w:i/>
                <w:sz w:val="20"/>
                <w:szCs w:val="20"/>
                <w:lang w:val="en-GB"/>
              </w:rPr>
              <w:t>srs</w:t>
            </w:r>
            <w:proofErr w:type="spellEnd"/>
            <w:r w:rsidRPr="00351F32">
              <w:rPr>
                <w:rFonts w:ascii="Times New Roman" w:eastAsia="Times New Roman" w:hAnsi="Times New Roman" w:cs="Times New Roman"/>
                <w:i/>
                <w:sz w:val="20"/>
                <w:szCs w:val="20"/>
                <w:lang w:val="en-GB"/>
              </w:rPr>
              <w:t>-TPC-PDCCH-Group</w:t>
            </w:r>
            <w:r w:rsidRPr="00351F32">
              <w:rPr>
                <w:rFonts w:ascii="Times New Roman" w:eastAsia="Times New Roman" w:hAnsi="Times New Roman" w:cs="Times New Roman"/>
                <w:color w:val="000000"/>
                <w:sz w:val="20"/>
              </w:rPr>
              <w:t xml:space="preserve"> set to '</w:t>
            </w:r>
            <w:proofErr w:type="spellStart"/>
            <w:r w:rsidRPr="00351F32">
              <w:rPr>
                <w:rFonts w:ascii="Times New Roman" w:eastAsia="Times New Roman" w:hAnsi="Times New Roman" w:cs="Times New Roman"/>
                <w:color w:val="000000"/>
                <w:sz w:val="20"/>
              </w:rPr>
              <w:t>typeA</w:t>
            </w:r>
            <w:proofErr w:type="spellEnd"/>
            <w:r w:rsidRPr="00351F32">
              <w:rPr>
                <w:rFonts w:ascii="Times New Roman" w:eastAsia="Times New Roman" w:hAnsi="Times New Roman" w:cs="Times New Roman"/>
                <w:color w:val="000000"/>
                <w:sz w:val="20"/>
              </w:rPr>
              <w:t xml:space="preserve">', and given by </w:t>
            </w:r>
            <w:r w:rsidRPr="00351F32">
              <w:rPr>
                <w:rFonts w:ascii="Times New Roman" w:eastAsia="Times New Roman" w:hAnsi="Times New Roman" w:cs="Times New Roman"/>
                <w:i/>
                <w:sz w:val="20"/>
                <w:szCs w:val="20"/>
                <w:lang w:val="en-GB"/>
              </w:rPr>
              <w:t>SRS-</w:t>
            </w:r>
            <w:proofErr w:type="spellStart"/>
            <w:r w:rsidRPr="00351F32">
              <w:rPr>
                <w:rFonts w:ascii="Times New Roman" w:eastAsia="Times New Roman" w:hAnsi="Times New Roman" w:cs="Times New Roman"/>
                <w:i/>
                <w:sz w:val="20"/>
                <w:szCs w:val="20"/>
                <w:lang w:val="en-GB"/>
              </w:rPr>
              <w:t>CarrierSwitching</w:t>
            </w:r>
            <w:proofErr w:type="spellEnd"/>
            <w:r w:rsidRPr="00351F32">
              <w:rPr>
                <w:rFonts w:ascii="Times New Roman" w:eastAsia="Times New Roman" w:hAnsi="Times New Roman" w:cs="Times New Roman"/>
                <w:i/>
                <w:sz w:val="20"/>
                <w:szCs w:val="20"/>
                <w:lang w:val="en-GB"/>
              </w:rPr>
              <w:t>,</w:t>
            </w:r>
            <w:r w:rsidRPr="00351F32">
              <w:rPr>
                <w:rFonts w:ascii="Times New Roman" w:eastAsia="Times New Roman" w:hAnsi="Times New Roman" w:cs="Times New Roman"/>
                <w:color w:val="000000"/>
                <w:sz w:val="20"/>
              </w:rPr>
              <w:t xml:space="preserve"> without PUSCH/PUCCH transmission, the order of the </w:t>
            </w:r>
            <w:r w:rsidRPr="001E6FA6">
              <w:rPr>
                <w:rFonts w:ascii="Times New Roman" w:eastAsia="Times New Roman" w:hAnsi="Times New Roman" w:cs="Times New Roman"/>
                <w:color w:val="000000"/>
                <w:sz w:val="20"/>
                <w:highlight w:val="cyan"/>
              </w:rPr>
              <w:t>triggered SRS transmission on the serving cells follow the order of the serving cells in the indicated set of serving cells configured by higher layers</w:t>
            </w:r>
            <w:r w:rsidRPr="00351F32">
              <w:rPr>
                <w:rFonts w:ascii="Times New Roman" w:eastAsia="Times New Roman" w:hAnsi="Times New Roman" w:cs="Times New Roman"/>
                <w:color w:val="000000"/>
                <w:sz w:val="20"/>
              </w:rPr>
              <w:t>,</w:t>
            </w:r>
            <w:r w:rsidRPr="00351F32">
              <w:rPr>
                <w:rFonts w:ascii="Times New Roman" w:eastAsia="Times New Roman" w:hAnsi="Times New Roman" w:cs="Times New Roman"/>
                <w:sz w:val="20"/>
                <w:szCs w:val="20"/>
                <w:lang w:val="en-GB"/>
              </w:rPr>
              <w:t xml:space="preserve"> </w:t>
            </w:r>
            <w:r w:rsidRPr="00351F32">
              <w:rPr>
                <w:rFonts w:ascii="Times New Roman" w:eastAsia="Times New Roman" w:hAnsi="Times New Roman" w:cs="Times New Roman"/>
                <w:color w:val="000000"/>
                <w:sz w:val="20"/>
              </w:rPr>
              <w:t xml:space="preserve">where the UE in each serving cell transmits </w:t>
            </w:r>
            <w:r w:rsidRPr="00351F32">
              <w:rPr>
                <w:rFonts w:ascii="Times New Roman" w:eastAsia="Times New Roman" w:hAnsi="Times New Roman" w:cs="Times New Roman"/>
                <w:color w:val="000000"/>
                <w:sz w:val="20"/>
                <w:highlight w:val="yellow"/>
              </w:rPr>
              <w:t xml:space="preserve">the configured one or two SRS resource set(s) with higher layer parameter </w:t>
            </w:r>
            <w:r w:rsidRPr="00351F32">
              <w:rPr>
                <w:rFonts w:ascii="Times New Roman" w:eastAsia="Times New Roman" w:hAnsi="Times New Roman" w:cs="Times New Roman"/>
                <w:i/>
                <w:color w:val="000000"/>
                <w:sz w:val="20"/>
                <w:highlight w:val="yellow"/>
              </w:rPr>
              <w:t>usage</w:t>
            </w:r>
            <w:r w:rsidRPr="00351F32">
              <w:rPr>
                <w:rFonts w:ascii="Times New Roman" w:eastAsia="Times New Roman" w:hAnsi="Times New Roman" w:cs="Times New Roman"/>
                <w:color w:val="000000"/>
                <w:sz w:val="20"/>
                <w:highlight w:val="yellow"/>
              </w:rPr>
              <w:t xml:space="preserve"> set to '</w:t>
            </w:r>
            <w:proofErr w:type="spellStart"/>
            <w:r w:rsidRPr="00351F32">
              <w:rPr>
                <w:rFonts w:ascii="Times New Roman" w:eastAsia="Times New Roman" w:hAnsi="Times New Roman" w:cs="Times New Roman"/>
                <w:color w:val="000000"/>
                <w:sz w:val="20"/>
                <w:highlight w:val="yellow"/>
              </w:rPr>
              <w:t>antennaSwitching</w:t>
            </w:r>
            <w:proofErr w:type="spellEnd"/>
            <w:r w:rsidRPr="00351F32">
              <w:rPr>
                <w:rFonts w:ascii="Times New Roman" w:eastAsia="Times New Roman" w:hAnsi="Times New Roman" w:cs="Times New Roman"/>
                <w:color w:val="000000"/>
                <w:sz w:val="20"/>
                <w:highlight w:val="yellow"/>
              </w:rPr>
              <w:t xml:space="preserve">' and higher layer parameter </w:t>
            </w:r>
            <w:proofErr w:type="spellStart"/>
            <w:r w:rsidRPr="00351F32">
              <w:rPr>
                <w:rFonts w:ascii="Times New Roman" w:eastAsia="Times New Roman" w:hAnsi="Times New Roman" w:cs="Times New Roman"/>
                <w:i/>
                <w:color w:val="000000"/>
                <w:sz w:val="20"/>
                <w:highlight w:val="yellow"/>
              </w:rPr>
              <w:t>resourceType</w:t>
            </w:r>
            <w:proofErr w:type="spellEnd"/>
            <w:r w:rsidRPr="00351F32">
              <w:rPr>
                <w:rFonts w:ascii="Times New Roman" w:eastAsia="Times New Roman" w:hAnsi="Times New Roman" w:cs="Times New Roman"/>
                <w:color w:val="000000"/>
                <w:sz w:val="20"/>
                <w:highlight w:val="yellow"/>
              </w:rPr>
              <w:t xml:space="preserve"> in </w:t>
            </w:r>
            <w:r w:rsidRPr="00351F32">
              <w:rPr>
                <w:rFonts w:ascii="Times New Roman" w:eastAsia="Times New Roman" w:hAnsi="Times New Roman" w:cs="Times New Roman"/>
                <w:i/>
                <w:color w:val="000000"/>
                <w:sz w:val="20"/>
                <w:highlight w:val="yellow"/>
              </w:rPr>
              <w:t>SRS-</w:t>
            </w:r>
            <w:proofErr w:type="spellStart"/>
            <w:r w:rsidRPr="00351F32">
              <w:rPr>
                <w:rFonts w:ascii="Times New Roman" w:eastAsia="Times New Roman" w:hAnsi="Times New Roman" w:cs="Times New Roman"/>
                <w:i/>
                <w:color w:val="000000"/>
                <w:sz w:val="20"/>
                <w:highlight w:val="yellow"/>
              </w:rPr>
              <w:t>ResourceSet</w:t>
            </w:r>
            <w:proofErr w:type="spellEnd"/>
            <w:r w:rsidRPr="00351F32">
              <w:rPr>
                <w:rFonts w:ascii="Times New Roman" w:eastAsia="Times New Roman" w:hAnsi="Times New Roman" w:cs="Times New Roman"/>
                <w:color w:val="000000"/>
                <w:sz w:val="20"/>
                <w:highlight w:val="yellow"/>
              </w:rPr>
              <w:t xml:space="preserve"> set to 'aperiodic'</w:t>
            </w:r>
          </w:p>
          <w:p w14:paraId="13568E80" w14:textId="77777777" w:rsidR="00025C67" w:rsidRDefault="00025C67" w:rsidP="00B41F28">
            <w:pPr>
              <w:spacing w:after="0"/>
              <w:rPr>
                <w:rFonts w:ascii="Times New Roman" w:hAnsi="Times New Roman"/>
                <w:color w:val="000000"/>
              </w:rPr>
            </w:pPr>
          </w:p>
          <w:p w14:paraId="4E3CA537" w14:textId="77777777" w:rsidR="00025C67" w:rsidRPr="00025C67" w:rsidRDefault="00025C67" w:rsidP="00025C67">
            <w:pPr>
              <w:spacing w:after="180" w:line="240" w:lineRule="auto"/>
              <w:rPr>
                <w:rFonts w:ascii="Times New Roman" w:eastAsia="Times New Roman" w:hAnsi="Times New Roman" w:cs="Times New Roman"/>
                <w:color w:val="000000"/>
              </w:rPr>
            </w:pPr>
            <w:r w:rsidRPr="00025C67">
              <w:rPr>
                <w:rFonts w:ascii="Times New Roman" w:eastAsia="Times New Roman" w:hAnsi="Times New Roman" w:cs="Times New Roman"/>
                <w:color w:val="000000"/>
              </w:rPr>
              <w:t xml:space="preserve">For an </w:t>
            </w:r>
            <w:r w:rsidRPr="00025C67">
              <w:rPr>
                <w:rFonts w:ascii="Times New Roman" w:eastAsia="Times New Roman" w:hAnsi="Times New Roman" w:cs="Times New Roman"/>
                <w:color w:val="000000"/>
                <w:highlight w:val="yellow"/>
              </w:rPr>
              <w:t>aperiodic SRS triggered in DCI format 2_3</w:t>
            </w:r>
            <w:r w:rsidRPr="00025C67">
              <w:rPr>
                <w:rFonts w:ascii="Times New Roman" w:eastAsia="Times New Roman" w:hAnsi="Times New Roman" w:cs="Times New Roman"/>
                <w:color w:val="000000"/>
              </w:rPr>
              <w:t xml:space="preserve"> and if the UE is configured with higher layer parameter </w:t>
            </w:r>
            <w:proofErr w:type="spellStart"/>
            <w:r w:rsidRPr="00025C67">
              <w:rPr>
                <w:rFonts w:ascii="Times New Roman" w:eastAsia="Times New Roman" w:hAnsi="Times New Roman" w:cs="Times New Roman"/>
                <w:i/>
                <w:szCs w:val="20"/>
                <w:lang w:val="en-GB"/>
              </w:rPr>
              <w:t>srs</w:t>
            </w:r>
            <w:proofErr w:type="spellEnd"/>
            <w:r w:rsidRPr="00025C67">
              <w:rPr>
                <w:rFonts w:ascii="Times New Roman" w:eastAsia="Times New Roman" w:hAnsi="Times New Roman" w:cs="Times New Roman"/>
                <w:i/>
                <w:szCs w:val="20"/>
                <w:lang w:val="en-GB"/>
              </w:rPr>
              <w:t>-TPC-PDCCH-Group</w:t>
            </w:r>
            <w:r w:rsidRPr="00025C67">
              <w:rPr>
                <w:rFonts w:ascii="Times New Roman" w:eastAsia="Times New Roman" w:hAnsi="Times New Roman" w:cs="Times New Roman"/>
                <w:color w:val="000000"/>
              </w:rPr>
              <w:t xml:space="preserve"> set to '</w:t>
            </w:r>
            <w:proofErr w:type="spellStart"/>
            <w:r w:rsidRPr="00025C67">
              <w:rPr>
                <w:rFonts w:ascii="Times New Roman" w:eastAsia="Times New Roman" w:hAnsi="Times New Roman" w:cs="Times New Roman"/>
                <w:color w:val="000000"/>
              </w:rPr>
              <w:t>typeB</w:t>
            </w:r>
            <w:proofErr w:type="spellEnd"/>
            <w:r w:rsidRPr="00025C67">
              <w:rPr>
                <w:rFonts w:ascii="Times New Roman" w:eastAsia="Times New Roman" w:hAnsi="Times New Roman" w:cs="Times New Roman"/>
                <w:color w:val="000000"/>
              </w:rPr>
              <w:t xml:space="preserve">' without PUSCH/PUCCH transmission, </w:t>
            </w:r>
            <w:r w:rsidRPr="00025C67">
              <w:rPr>
                <w:rFonts w:ascii="Times New Roman" w:eastAsia="Times New Roman" w:hAnsi="Times New Roman" w:cs="Times New Roman"/>
                <w:color w:val="000000"/>
                <w:highlight w:val="cyan"/>
              </w:rPr>
              <w:t xml:space="preserve">the order of the triggered </w:t>
            </w:r>
            <w:r w:rsidRPr="00025C67">
              <w:rPr>
                <w:rFonts w:ascii="Times New Roman" w:eastAsia="Times New Roman" w:hAnsi="Times New Roman" w:cs="Times New Roman"/>
                <w:color w:val="000000"/>
                <w:highlight w:val="cyan"/>
              </w:rPr>
              <w:lastRenderedPageBreak/>
              <w:t>SRS transmission on the serving cells follow the order of the serving cells with aperiodic SRS triggered in the DCI</w:t>
            </w:r>
            <w:r w:rsidRPr="00025C67">
              <w:rPr>
                <w:rFonts w:ascii="Times New Roman" w:eastAsia="Times New Roman" w:hAnsi="Times New Roman" w:cs="Times New Roman"/>
                <w:color w:val="000000"/>
              </w:rPr>
              <w:t xml:space="preserve">, and the UE in each serving cell transmits </w:t>
            </w:r>
            <w:r w:rsidRPr="00025C67">
              <w:rPr>
                <w:rFonts w:ascii="Times New Roman" w:eastAsia="Times New Roman" w:hAnsi="Times New Roman" w:cs="Times New Roman"/>
                <w:color w:val="000000"/>
                <w:highlight w:val="yellow"/>
              </w:rPr>
              <w:t xml:space="preserve">the configured one or two SRS resource set(s) with higher layer parameter </w:t>
            </w:r>
            <w:r w:rsidRPr="00025C67">
              <w:rPr>
                <w:rFonts w:ascii="Times New Roman" w:eastAsia="Times New Roman" w:hAnsi="Times New Roman" w:cs="Times New Roman"/>
                <w:i/>
                <w:color w:val="000000"/>
                <w:highlight w:val="yellow"/>
              </w:rPr>
              <w:t>usage</w:t>
            </w:r>
            <w:r w:rsidRPr="00025C67">
              <w:rPr>
                <w:rFonts w:ascii="Times New Roman" w:eastAsia="Times New Roman" w:hAnsi="Times New Roman" w:cs="Times New Roman"/>
                <w:color w:val="000000"/>
                <w:highlight w:val="yellow"/>
              </w:rPr>
              <w:t xml:space="preserve"> set to '</w:t>
            </w:r>
            <w:proofErr w:type="spellStart"/>
            <w:r w:rsidRPr="00025C67">
              <w:rPr>
                <w:rFonts w:ascii="Times New Roman" w:eastAsia="Times New Roman" w:hAnsi="Times New Roman" w:cs="Times New Roman"/>
                <w:color w:val="000000"/>
                <w:highlight w:val="yellow"/>
              </w:rPr>
              <w:t>antennaSwitching</w:t>
            </w:r>
            <w:proofErr w:type="spellEnd"/>
            <w:r w:rsidRPr="00025C67">
              <w:rPr>
                <w:rFonts w:ascii="Times New Roman" w:eastAsia="Times New Roman" w:hAnsi="Times New Roman" w:cs="Times New Roman"/>
                <w:color w:val="000000"/>
                <w:highlight w:val="yellow"/>
              </w:rPr>
              <w:t xml:space="preserve">' and higher layer parameter </w:t>
            </w:r>
            <w:proofErr w:type="spellStart"/>
            <w:r w:rsidRPr="00025C67">
              <w:rPr>
                <w:rFonts w:ascii="Times New Roman" w:eastAsia="Times New Roman" w:hAnsi="Times New Roman" w:cs="Times New Roman"/>
                <w:i/>
                <w:color w:val="000000"/>
                <w:highlight w:val="yellow"/>
              </w:rPr>
              <w:t>resourceType</w:t>
            </w:r>
            <w:proofErr w:type="spellEnd"/>
            <w:r w:rsidRPr="00025C67">
              <w:rPr>
                <w:rFonts w:ascii="Times New Roman" w:eastAsia="Times New Roman" w:hAnsi="Times New Roman" w:cs="Times New Roman"/>
                <w:color w:val="000000"/>
                <w:highlight w:val="yellow"/>
              </w:rPr>
              <w:t xml:space="preserve"> in </w:t>
            </w:r>
            <w:r w:rsidRPr="00025C67">
              <w:rPr>
                <w:rFonts w:ascii="Times New Roman" w:eastAsia="Times New Roman" w:hAnsi="Times New Roman" w:cs="Times New Roman"/>
                <w:i/>
                <w:color w:val="000000"/>
                <w:highlight w:val="yellow"/>
              </w:rPr>
              <w:t>SRS-</w:t>
            </w:r>
            <w:proofErr w:type="spellStart"/>
            <w:r w:rsidRPr="00025C67">
              <w:rPr>
                <w:rFonts w:ascii="Times New Roman" w:eastAsia="Times New Roman" w:hAnsi="Times New Roman" w:cs="Times New Roman"/>
                <w:i/>
                <w:color w:val="000000"/>
                <w:highlight w:val="yellow"/>
              </w:rPr>
              <w:t>ResourceSet</w:t>
            </w:r>
            <w:proofErr w:type="spellEnd"/>
            <w:r w:rsidRPr="00025C67">
              <w:rPr>
                <w:rFonts w:ascii="Times New Roman" w:eastAsia="Times New Roman" w:hAnsi="Times New Roman" w:cs="Times New Roman"/>
                <w:color w:val="000000"/>
                <w:highlight w:val="yellow"/>
              </w:rPr>
              <w:t xml:space="preserve"> set to 'aperiodic'</w:t>
            </w:r>
            <w:r w:rsidRPr="00025C67">
              <w:rPr>
                <w:rFonts w:ascii="Times New Roman" w:eastAsia="Times New Roman" w:hAnsi="Times New Roman" w:cs="Times New Roman"/>
                <w:color w:val="000000"/>
              </w:rPr>
              <w:t>.</w:t>
            </w:r>
          </w:p>
          <w:p w14:paraId="3F4DA98E" w14:textId="346B9F1B" w:rsidR="00025C67" w:rsidRDefault="00025C67" w:rsidP="001E6FA6">
            <w:pPr>
              <w:spacing w:after="180" w:line="240" w:lineRule="auto"/>
            </w:pPr>
            <w:r w:rsidRPr="00025C67">
              <w:rPr>
                <w:rFonts w:ascii="Times New Roman" w:eastAsia="Times New Roman" w:hAnsi="Times New Roman" w:cs="Times New Roman"/>
                <w:color w:val="000000"/>
              </w:rPr>
              <w:t xml:space="preserve">A UE can be configured with SRS resource(s) on a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1</w:t>
            </w:r>
            <w:r w:rsidRPr="00025C67">
              <w:rPr>
                <w:rFonts w:ascii="Times New Roman" w:eastAsia="Times New Roman" w:hAnsi="Times New Roman" w:cs="Times New Roman"/>
                <w:color w:val="000000"/>
              </w:rPr>
              <w:t xml:space="preserve"> with slot formats comprised of DL and UL symbols and not configured for PUSCH/PUCCH transmission. For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1</w:t>
            </w:r>
            <w:r w:rsidRPr="00025C67">
              <w:rPr>
                <w:rFonts w:ascii="Times New Roman" w:eastAsia="Times New Roman" w:hAnsi="Times New Roman" w:cs="Times New Roman"/>
                <w:color w:val="000000"/>
              </w:rPr>
              <w:t xml:space="preserve">, the UE is configured with higher layer parameter </w:t>
            </w:r>
            <w:proofErr w:type="spellStart"/>
            <w:r w:rsidRPr="00025C67">
              <w:rPr>
                <w:rFonts w:ascii="Times New Roman" w:eastAsia="Times New Roman" w:hAnsi="Times New Roman" w:cs="Times New Roman"/>
                <w:i/>
                <w:iCs/>
                <w:color w:val="000000"/>
              </w:rPr>
              <w:t>srs-SwitchFromServCellIndex</w:t>
            </w:r>
            <w:proofErr w:type="spellEnd"/>
            <w:r w:rsidRPr="00025C67">
              <w:rPr>
                <w:rFonts w:ascii="Times New Roman" w:eastAsia="Times New Roman" w:hAnsi="Times New Roman" w:cs="Times New Roman"/>
                <w:color w:val="000000"/>
              </w:rPr>
              <w:t xml:space="preserve"> and </w:t>
            </w:r>
            <w:proofErr w:type="spellStart"/>
            <w:r w:rsidRPr="00025C67">
              <w:rPr>
                <w:rFonts w:ascii="Times New Roman" w:eastAsia="Times New Roman" w:hAnsi="Times New Roman" w:cs="Times New Roman"/>
                <w:i/>
                <w:iCs/>
                <w:color w:val="000000"/>
              </w:rPr>
              <w:t>srs-SwitchFromCarrier</w:t>
            </w:r>
            <w:proofErr w:type="spellEnd"/>
            <w:r w:rsidRPr="00025C67" w:rsidDel="00287C81">
              <w:rPr>
                <w:rFonts w:ascii="Times New Roman" w:eastAsia="Times New Roman" w:hAnsi="Times New Roman" w:cs="Times New Roman"/>
                <w:color w:val="000000"/>
              </w:rPr>
              <w:t xml:space="preserve"> </w:t>
            </w:r>
            <w:r w:rsidRPr="00025C67">
              <w:rPr>
                <w:rFonts w:ascii="Times New Roman" w:eastAsia="Times New Roman" w:hAnsi="Times New Roman" w:cs="Times New Roman"/>
                <w:color w:val="000000"/>
              </w:rPr>
              <w:t xml:space="preserve">the switching from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2</w:t>
            </w:r>
            <w:r w:rsidRPr="00025C67">
              <w:rPr>
                <w:rFonts w:ascii="Times New Roman" w:eastAsia="Times New Roman" w:hAnsi="Times New Roman" w:cs="Times New Roman"/>
                <w:color w:val="000000"/>
              </w:rPr>
              <w:t xml:space="preserve"> which is configured for PUSCH/PUCCH transmission. During SRS transmission on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 xml:space="preserve">1 </w:t>
            </w:r>
            <w:r w:rsidRPr="00025C67">
              <w:rPr>
                <w:rFonts w:ascii="Times New Roman" w:eastAsia="Times New Roman" w:hAnsi="Times New Roman" w:cs="Times New Roman"/>
                <w:color w:val="000000"/>
              </w:rPr>
              <w:t xml:space="preserve">(including any interruption due to uplink or downlink RF retuning time [11, TS 38.133] as defined by higher layer parameters </w:t>
            </w:r>
            <w:proofErr w:type="spellStart"/>
            <w:r w:rsidRPr="00025C67">
              <w:rPr>
                <w:rFonts w:ascii="Times New Roman" w:eastAsia="Times New Roman" w:hAnsi="Times New Roman" w:cs="Times New Roman"/>
                <w:i/>
                <w:szCs w:val="20"/>
                <w:lang w:val="en-GB"/>
              </w:rPr>
              <w:t>switchingTimeUL</w:t>
            </w:r>
            <w:proofErr w:type="spellEnd"/>
            <w:r w:rsidRPr="00025C67">
              <w:rPr>
                <w:rFonts w:ascii="Times New Roman" w:eastAsia="Times New Roman" w:hAnsi="Times New Roman" w:cs="Times New Roman"/>
                <w:color w:val="000000"/>
                <w:szCs w:val="20"/>
                <w:lang w:val="en-GB"/>
              </w:rPr>
              <w:t xml:space="preserve"> and </w:t>
            </w:r>
            <w:proofErr w:type="spellStart"/>
            <w:r w:rsidRPr="00025C67">
              <w:rPr>
                <w:rFonts w:ascii="Times New Roman" w:eastAsia="Times New Roman" w:hAnsi="Times New Roman" w:cs="Times New Roman"/>
                <w:i/>
                <w:szCs w:val="20"/>
                <w:lang w:val="en-GB"/>
              </w:rPr>
              <w:t>switchingTimeDL</w:t>
            </w:r>
            <w:proofErr w:type="spellEnd"/>
            <w:r w:rsidRPr="00025C67">
              <w:rPr>
                <w:rFonts w:ascii="Times New Roman" w:eastAsia="Times New Roman" w:hAnsi="Times New Roman" w:cs="Times New Roman"/>
                <w:color w:val="000000"/>
                <w:szCs w:val="20"/>
                <w:lang w:val="en-GB"/>
              </w:rPr>
              <w:t xml:space="preserve"> of </w:t>
            </w:r>
            <w:proofErr w:type="spellStart"/>
            <w:r w:rsidRPr="00025C67">
              <w:rPr>
                <w:rFonts w:ascii="Times New Roman" w:eastAsia="Times New Roman" w:hAnsi="Times New Roman" w:cs="Times New Roman"/>
                <w:i/>
                <w:color w:val="000000"/>
                <w:szCs w:val="20"/>
                <w:lang w:val="en-GB"/>
              </w:rPr>
              <w:t>srs-SwitchingTimeNR</w:t>
            </w:r>
            <w:proofErr w:type="spellEnd"/>
            <w:r w:rsidRPr="00025C67">
              <w:rPr>
                <w:rFonts w:ascii="Times New Roman" w:eastAsia="Times New Roman" w:hAnsi="Times New Roman" w:cs="Times New Roman"/>
                <w:color w:val="000000"/>
              </w:rPr>
              <w:t xml:space="preserve">), the UE </w:t>
            </w:r>
            <w:proofErr w:type="gramStart"/>
            <w:r w:rsidRPr="00025C67">
              <w:rPr>
                <w:rFonts w:ascii="Times New Roman" w:eastAsia="Times New Roman" w:hAnsi="Times New Roman" w:cs="Times New Roman"/>
                <w:color w:val="000000"/>
              </w:rPr>
              <w:t>temporarily suspends</w:t>
            </w:r>
            <w:proofErr w:type="gramEnd"/>
            <w:r w:rsidRPr="00025C67">
              <w:rPr>
                <w:rFonts w:ascii="Times New Roman" w:eastAsia="Times New Roman" w:hAnsi="Times New Roman" w:cs="Times New Roman"/>
                <w:color w:val="000000"/>
              </w:rPr>
              <w:t xml:space="preserve"> the uplink transmission on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2</w:t>
            </w:r>
            <w:r w:rsidRPr="00025C67">
              <w:rPr>
                <w:rFonts w:ascii="Times New Roman" w:eastAsia="Times New Roman" w:hAnsi="Times New Roman" w:cs="Times New Roman"/>
                <w:szCs w:val="20"/>
                <w:lang w:val="en-GB"/>
              </w:rPr>
              <w:t>.</w:t>
            </w:r>
          </w:p>
        </w:tc>
      </w:tr>
    </w:tbl>
    <w:p w14:paraId="784FC1F0" w14:textId="77777777" w:rsidR="00351F32" w:rsidRDefault="00351F32" w:rsidP="00B41F28">
      <w:pPr>
        <w:spacing w:after="0"/>
      </w:pPr>
    </w:p>
    <w:p w14:paraId="1D75C1AA" w14:textId="499352C6" w:rsidR="0011458F" w:rsidRDefault="0011458F" w:rsidP="00B41F28">
      <w:pPr>
        <w:spacing w:after="0"/>
      </w:pPr>
    </w:p>
    <w:p w14:paraId="1E769887" w14:textId="403A0323" w:rsidR="0011458F" w:rsidRDefault="008605CA" w:rsidP="00B41F28">
      <w:pPr>
        <w:spacing w:after="0"/>
      </w:pPr>
      <w:r>
        <w:t xml:space="preserve">Furthermore, </w:t>
      </w:r>
      <w:r w:rsidR="0011458F">
        <w:t xml:space="preserve">DCI 1_1 or 1_2 should trigger SRS transmission on </w:t>
      </w:r>
      <w:r w:rsidR="00FB5D67">
        <w:t xml:space="preserve">at most one </w:t>
      </w:r>
      <w:r w:rsidR="0011458F">
        <w:t>cell scheduled by the DCI</w:t>
      </w:r>
      <w:r w:rsidR="00FB5D67">
        <w:t xml:space="preserve">, as discussed more in </w:t>
      </w:r>
      <w:r w:rsidR="00FB5D67">
        <w:fldChar w:fldCharType="begin"/>
      </w:r>
      <w:r w:rsidR="00FB5D67">
        <w:instrText xml:space="preserve"> REF _Ref142664398 \r \h </w:instrText>
      </w:r>
      <w:r w:rsidR="00FB5D67">
        <w:fldChar w:fldCharType="separate"/>
      </w:r>
      <w:r w:rsidR="00FC4662">
        <w:t>[1]</w:t>
      </w:r>
      <w:r w:rsidR="00FB5D67">
        <w:fldChar w:fldCharType="end"/>
      </w:r>
      <w:r w:rsidR="0011458F">
        <w:t xml:space="preserve">.  This is also not </w:t>
      </w:r>
      <w:r w:rsidR="00FB5D67">
        <w:t xml:space="preserve">explicitly </w:t>
      </w:r>
      <w:r w:rsidR="0011458F">
        <w:t>stated in 38.214 or elsewhere in the layer 1 specifications.</w:t>
      </w:r>
      <w:r w:rsidR="00FB5D67">
        <w:t xml:space="preserve">  During discussions in RAN1#114, companies seemed to agree with these observations:</w:t>
      </w:r>
    </w:p>
    <w:p w14:paraId="76E5C1B5" w14:textId="77777777" w:rsidR="0011458F" w:rsidRDefault="0011458F" w:rsidP="00B41F28">
      <w:pPr>
        <w:spacing w:after="0"/>
      </w:pPr>
    </w:p>
    <w:p w14:paraId="3305B78D" w14:textId="77340FFB" w:rsidR="00FB5D67" w:rsidRDefault="00FB5D67" w:rsidP="00FB5D67">
      <w:pPr>
        <w:pStyle w:val="Observation"/>
      </w:pPr>
      <w:bookmarkStart w:id="2" w:name="_Toc146620954"/>
      <w:r>
        <w:t>I</w:t>
      </w:r>
      <w:r w:rsidR="00351F32">
        <w:t xml:space="preserve">t is </w:t>
      </w:r>
      <w:r w:rsidR="00351F32" w:rsidRPr="00351F32">
        <w:t xml:space="preserve">stated </w:t>
      </w:r>
      <w:r>
        <w:t xml:space="preserve">in 38.214 </w:t>
      </w:r>
      <w:r w:rsidR="00351F32" w:rsidRPr="00351F32">
        <w:t xml:space="preserve">for DCI </w:t>
      </w:r>
      <w:r>
        <w:t xml:space="preserve">2_3, but not for DCI </w:t>
      </w:r>
      <w:r w:rsidR="00351F32" w:rsidRPr="00351F32">
        <w:t>1_1 or 1_2</w:t>
      </w:r>
      <w:r>
        <w:t>,</w:t>
      </w:r>
      <w:r w:rsidR="00351F32" w:rsidRPr="00351F32">
        <w:t xml:space="preserve"> that the UE is configured with one or two SRS aperiodic resource set(s) whose usage is set to ‘</w:t>
      </w:r>
      <w:proofErr w:type="spellStart"/>
      <w:r w:rsidR="00351F32" w:rsidRPr="00351F32">
        <w:t>antennaSwitching</w:t>
      </w:r>
      <w:proofErr w:type="spellEnd"/>
      <w:r w:rsidR="00351F32" w:rsidRPr="00351F32">
        <w:t>’.</w:t>
      </w:r>
      <w:bookmarkEnd w:id="2"/>
      <w:r w:rsidR="00351F32" w:rsidRPr="00351F32">
        <w:t xml:space="preserve">  </w:t>
      </w:r>
    </w:p>
    <w:p w14:paraId="22CF0D57" w14:textId="4F13A032" w:rsidR="00351F32" w:rsidRDefault="00FB5D67" w:rsidP="00FB5D67">
      <w:pPr>
        <w:pStyle w:val="Observation"/>
      </w:pPr>
      <w:bookmarkStart w:id="3" w:name="_Toc146620955"/>
      <w:r>
        <w:t>I</w:t>
      </w:r>
      <w:r w:rsidR="00351F32" w:rsidRPr="00351F32">
        <w:t>t is not explicitly stated in L1 specifications that the carrier switching SRS is transmitted on at most one serving cell scheduled by DCI</w:t>
      </w:r>
      <w:r>
        <w:t xml:space="preserve"> 1_1 or 1_2</w:t>
      </w:r>
      <w:r w:rsidR="00351F32" w:rsidRPr="00351F32">
        <w:t>.</w:t>
      </w:r>
      <w:bookmarkEnd w:id="3"/>
    </w:p>
    <w:p w14:paraId="00BD8BC4" w14:textId="77777777" w:rsidR="00351F32" w:rsidRDefault="00351F32" w:rsidP="00B41F28">
      <w:pPr>
        <w:spacing w:after="0"/>
      </w:pPr>
    </w:p>
    <w:p w14:paraId="7FF908AC" w14:textId="6E6277D7" w:rsidR="002C16CC" w:rsidRDefault="00FB5D67" w:rsidP="001D3C07">
      <w:pPr>
        <w:spacing w:after="0"/>
      </w:pPr>
      <w:r>
        <w:t>This led to</w:t>
      </w:r>
      <w:r w:rsidR="009B611F">
        <w:t xml:space="preserve"> a proposal to discuss the text </w:t>
      </w:r>
      <w:r w:rsidR="00AA0A71">
        <w:t>for 38.214 section 6.2.1.3</w:t>
      </w:r>
      <w:r w:rsidR="00B614B6">
        <w:t xml:space="preserve"> below </w:t>
      </w:r>
      <w:r>
        <w:t>in RAN1#114</w:t>
      </w:r>
      <w:r w:rsidR="001D3C07">
        <w:t xml:space="preserve"> in this meeting</w:t>
      </w:r>
      <w:r w:rsidR="009B611F">
        <w:t xml:space="preserve">, or to make </w:t>
      </w:r>
      <w:r w:rsidR="009B611F" w:rsidRPr="009B611F">
        <w:t>a similar change to UE capability</w:t>
      </w:r>
      <w:r w:rsidR="009B611F">
        <w:t>.</w:t>
      </w:r>
    </w:p>
    <w:p w14:paraId="1BCBD984" w14:textId="42B1965D" w:rsidR="00B614B6" w:rsidRDefault="00B614B6" w:rsidP="001D3C07">
      <w:pPr>
        <w:spacing w:after="0"/>
      </w:pPr>
    </w:p>
    <w:p w14:paraId="508991CF" w14:textId="3833A863" w:rsidR="00B614B6" w:rsidRDefault="00B614B6" w:rsidP="00B614B6">
      <w:pPr>
        <w:spacing w:after="0"/>
      </w:pPr>
      <w:r>
        <w:rPr>
          <w:rFonts w:eastAsia="Malgun Gothic" w:cs="Arial"/>
          <w:lang w:val="en-GB" w:eastAsia="ko-KR"/>
        </w:rPr>
        <w:t>While m</w:t>
      </w:r>
      <w:proofErr w:type="spellStart"/>
      <w:r>
        <w:t>ost</w:t>
      </w:r>
      <w:proofErr w:type="spellEnd"/>
      <w:r>
        <w:t xml:space="preserve"> companies seemed OK in spirit with the</w:t>
      </w:r>
      <w:r w:rsidR="009B611F">
        <w:t xml:space="preserve"> text in the</w:t>
      </w:r>
      <w:r>
        <w:t xml:space="preserve"> proposal, another view was that it may be better to define a UE capability that identifies the required SRS configuration, rather than making a change to 38.214.  It is not clear to us yet how UE capability could be used for this purpose.  UE capability could identify that the UE supports </w:t>
      </w:r>
      <w:r w:rsidRPr="000D0E4E">
        <w:t>one or two SRS resource set(s) with higher layer parameter usage set to ‘</w:t>
      </w:r>
      <w:proofErr w:type="spellStart"/>
      <w:r w:rsidRPr="000D0E4E">
        <w:t>antennaSwitching</w:t>
      </w:r>
      <w:proofErr w:type="spellEnd"/>
      <w:r w:rsidRPr="000D0E4E">
        <w:t xml:space="preserve">’ and higher layer parameter </w:t>
      </w:r>
      <w:proofErr w:type="spellStart"/>
      <w:r w:rsidRPr="000D0E4E">
        <w:t>resourceType</w:t>
      </w:r>
      <w:proofErr w:type="spellEnd"/>
      <w:r w:rsidRPr="000D0E4E">
        <w:t xml:space="preserve"> in SRS-</w:t>
      </w:r>
      <w:proofErr w:type="spellStart"/>
      <w:r w:rsidRPr="000D0E4E">
        <w:t>ResourceSet</w:t>
      </w:r>
      <w:proofErr w:type="spellEnd"/>
      <w:r w:rsidRPr="000D0E4E">
        <w:t xml:space="preserve"> set to ‘aperiodic’</w:t>
      </w:r>
      <w:r>
        <w:t xml:space="preserve"> for the purpose of SRS carrier switching, but this does not define the behavior of the feature: other SRS configurations could be used for the same purpose, unless this is defined by the 38.21x specifications.  Furthermore, that a UE transmit</w:t>
      </w:r>
      <w:r w:rsidR="00623BBA">
        <w:t>s</w:t>
      </w:r>
      <w:r>
        <w:t xml:space="preserve"> SRS on the single cell scheduled by DCI is also something that is not really suited to 38.306.</w:t>
      </w:r>
    </w:p>
    <w:p w14:paraId="48AB8F2F" w14:textId="77777777" w:rsidR="00B614B6" w:rsidRDefault="00B614B6" w:rsidP="00B614B6">
      <w:pPr>
        <w:spacing w:after="0"/>
      </w:pPr>
    </w:p>
    <w:p w14:paraId="78A0E7DF" w14:textId="6C900F5B" w:rsidR="00B614B6" w:rsidRDefault="00B614B6" w:rsidP="00B614B6">
      <w:pPr>
        <w:pStyle w:val="Observation"/>
      </w:pPr>
      <w:bookmarkStart w:id="4" w:name="_Toc146620956"/>
      <w:r>
        <w:t xml:space="preserve">The constraint that a single cell scheduled by DCI is used for SRS carrier switching transmission and that </w:t>
      </w:r>
      <w:r w:rsidRPr="00B614B6">
        <w:t>one or two SRS resource set(s) with higher layer parameter usage set to ‘</w:t>
      </w:r>
      <w:proofErr w:type="spellStart"/>
      <w:r w:rsidRPr="00B614B6">
        <w:t>antennaSwitching</w:t>
      </w:r>
      <w:proofErr w:type="spellEnd"/>
      <w:r w:rsidRPr="00B614B6">
        <w:t xml:space="preserve">’ and higher layer parameter </w:t>
      </w:r>
      <w:proofErr w:type="spellStart"/>
      <w:r w:rsidRPr="00B614B6">
        <w:t>resourceType</w:t>
      </w:r>
      <w:proofErr w:type="spellEnd"/>
      <w:r w:rsidRPr="00B614B6">
        <w:t xml:space="preserve"> in SRS-</w:t>
      </w:r>
      <w:proofErr w:type="spellStart"/>
      <w:r w:rsidRPr="00B614B6">
        <w:t>ResourceSet</w:t>
      </w:r>
      <w:proofErr w:type="spellEnd"/>
      <w:r w:rsidRPr="00B614B6">
        <w:t xml:space="preserve"> set to ‘aperiodic’</w:t>
      </w:r>
      <w:r>
        <w:t xml:space="preserve"> </w:t>
      </w:r>
      <w:r w:rsidR="007B0737">
        <w:t xml:space="preserve">are needed </w:t>
      </w:r>
      <w:r>
        <w:t>do not seem suitable for defining by UE capability.</w:t>
      </w:r>
      <w:bookmarkEnd w:id="4"/>
    </w:p>
    <w:p w14:paraId="4471A6C6" w14:textId="77777777" w:rsidR="001D3C07" w:rsidRDefault="001D3C07" w:rsidP="001D3C07">
      <w:pPr>
        <w:spacing w:after="0"/>
      </w:pPr>
    </w:p>
    <w:p w14:paraId="7CC3FDC7" w14:textId="7F961663" w:rsidR="00961F53" w:rsidRDefault="00961F53" w:rsidP="00961F53">
      <w:pPr>
        <w:spacing w:after="0"/>
      </w:pPr>
      <w:bookmarkStart w:id="5" w:name="_Ref146569819"/>
      <w:r>
        <w:t>We therefore propose the f</w:t>
      </w:r>
      <w:r w:rsidR="00B41F28">
        <w:t>ollowing</w:t>
      </w:r>
      <w:r w:rsidR="00B41F28" w:rsidRPr="006F2AED">
        <w:t xml:space="preserve"> </w:t>
      </w:r>
      <w:r w:rsidR="00B41F28" w:rsidRPr="003D5EC9">
        <w:rPr>
          <w:color w:val="FF0000"/>
          <w:u w:val="single"/>
        </w:rPr>
        <w:t>change</w:t>
      </w:r>
      <w:r w:rsidR="00B41F28" w:rsidRPr="003D5EC9">
        <w:rPr>
          <w:color w:val="FF0000"/>
        </w:rPr>
        <w:t xml:space="preserve"> </w:t>
      </w:r>
      <w:r w:rsidR="00B41F28" w:rsidRPr="0037630A">
        <w:t xml:space="preserve">to </w:t>
      </w:r>
      <w:r w:rsidR="00B41F28" w:rsidRPr="006F2AED">
        <w:t>38.214 section 6.2.1.3</w:t>
      </w:r>
      <w:bookmarkEnd w:id="5"/>
      <w:r>
        <w:t>:</w:t>
      </w:r>
    </w:p>
    <w:p w14:paraId="2B24EEE9" w14:textId="77777777" w:rsidR="00961F53" w:rsidRPr="006F2AED" w:rsidRDefault="00961F53" w:rsidP="00961F53">
      <w:pPr>
        <w:spacing w:after="0"/>
      </w:pPr>
    </w:p>
    <w:tbl>
      <w:tblPr>
        <w:tblStyle w:val="TableGrid"/>
        <w:tblW w:w="0" w:type="auto"/>
        <w:tblLook w:val="04A0" w:firstRow="1" w:lastRow="0" w:firstColumn="1" w:lastColumn="0" w:noHBand="0" w:noVBand="1"/>
      </w:tblPr>
      <w:tblGrid>
        <w:gridCol w:w="9629"/>
      </w:tblGrid>
      <w:tr w:rsidR="00B41F28" w14:paraId="406E7BB2" w14:textId="77777777" w:rsidTr="00A468B4">
        <w:tc>
          <w:tcPr>
            <w:tcW w:w="9629" w:type="dxa"/>
          </w:tcPr>
          <w:p w14:paraId="46476EF5" w14:textId="77777777" w:rsidR="00B41F28" w:rsidRDefault="00B41F28" w:rsidP="00A468B4">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proofErr w:type="spellStart"/>
            <w:r w:rsidRPr="005A7E87">
              <w:rPr>
                <w:i/>
              </w:rPr>
              <w:t>srs</w:t>
            </w:r>
            <w:proofErr w:type="spellEnd"/>
            <w:r w:rsidRPr="005A7E87">
              <w:rPr>
                <w:i/>
              </w:rPr>
              <w:t>-TPC-PDCCH-Group</w:t>
            </w:r>
            <w:r w:rsidRPr="00CE00B4">
              <w:rPr>
                <w:color w:val="000000"/>
              </w:rPr>
              <w:t xml:space="preserve"> </w:t>
            </w:r>
            <w:r>
              <w:rPr>
                <w:color w:val="000000"/>
              </w:rPr>
              <w:t>set to ‘</w:t>
            </w:r>
            <w:proofErr w:type="spellStart"/>
            <w:r>
              <w:rPr>
                <w:color w:val="000000"/>
              </w:rPr>
              <w:t>typeB</w:t>
            </w:r>
            <w:proofErr w:type="spellEnd"/>
            <w:r>
              <w:rPr>
                <w:color w:val="000000"/>
              </w:rPr>
              <w:t>’</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proofErr w:type="spellStart"/>
            <w:r w:rsidRPr="00DE4061">
              <w:rPr>
                <w:color w:val="000000"/>
              </w:rPr>
              <w:t>antenna</w:t>
            </w:r>
            <w:r>
              <w:rPr>
                <w:color w:val="000000"/>
              </w:rPr>
              <w:t>S</w:t>
            </w:r>
            <w:r w:rsidRPr="00DE4061">
              <w:rPr>
                <w:color w:val="000000"/>
              </w:rPr>
              <w:t>witching</w:t>
            </w:r>
            <w:proofErr w:type="spellEnd"/>
            <w:r>
              <w:rPr>
                <w:color w:val="000000"/>
              </w:rPr>
              <w:t>’</w:t>
            </w:r>
            <w:r w:rsidRPr="00DE4061">
              <w:rPr>
                <w:color w:val="000000"/>
              </w:rPr>
              <w:t xml:space="preserve"> and higher layer parameter </w:t>
            </w:r>
            <w:proofErr w:type="spellStart"/>
            <w:r w:rsidRPr="00450CE8">
              <w:rPr>
                <w:i/>
                <w:color w:val="000000"/>
              </w:rPr>
              <w:t>resourceType</w:t>
            </w:r>
            <w:proofErr w:type="spellEnd"/>
            <w:r w:rsidRPr="00DE4061">
              <w:rPr>
                <w:color w:val="000000"/>
              </w:rPr>
              <w:t xml:space="preserve"> in </w:t>
            </w:r>
            <w:r w:rsidRPr="00450CE8">
              <w:rPr>
                <w:i/>
                <w:color w:val="000000"/>
              </w:rPr>
              <w:t>SRS-</w:t>
            </w:r>
            <w:proofErr w:type="spellStart"/>
            <w:r w:rsidRPr="00450CE8">
              <w:rPr>
                <w:i/>
                <w:color w:val="000000"/>
              </w:rPr>
              <w:t>ResourceSet</w:t>
            </w:r>
            <w:proofErr w:type="spellEnd"/>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3D789514" w14:textId="77777777" w:rsidR="00B41F28" w:rsidRDefault="00B41F28" w:rsidP="00A468B4">
            <w:pPr>
              <w:ind w:left="567"/>
              <w:rPr>
                <w:color w:val="FF0000"/>
                <w:u w:val="single"/>
              </w:rPr>
            </w:pPr>
            <w:r w:rsidRPr="005D0F11">
              <w:rPr>
                <w:color w:val="FF0000"/>
                <w:u w:val="single"/>
              </w:rPr>
              <w:lastRenderedPageBreak/>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proofErr w:type="spellStart"/>
            <w:r w:rsidRPr="007506B1">
              <w:rPr>
                <w:color w:val="FF0000"/>
                <w:u w:val="single"/>
              </w:rPr>
              <w:t>antennaSwitching</w:t>
            </w:r>
            <w:proofErr w:type="spellEnd"/>
            <w:r>
              <w:rPr>
                <w:color w:val="FF0000"/>
                <w:u w:val="single"/>
              </w:rPr>
              <w:t>’</w:t>
            </w:r>
            <w:r w:rsidRPr="007506B1">
              <w:rPr>
                <w:color w:val="FF0000"/>
                <w:u w:val="single"/>
              </w:rPr>
              <w:t xml:space="preserve"> and higher layer parameter </w:t>
            </w:r>
            <w:proofErr w:type="spellStart"/>
            <w:r w:rsidRPr="007506B1">
              <w:rPr>
                <w:i/>
                <w:color w:val="FF0000"/>
                <w:u w:val="single"/>
              </w:rPr>
              <w:t>resourceType</w:t>
            </w:r>
            <w:proofErr w:type="spellEnd"/>
            <w:r w:rsidRPr="007506B1">
              <w:rPr>
                <w:color w:val="FF0000"/>
                <w:u w:val="single"/>
              </w:rPr>
              <w:t xml:space="preserve"> in </w:t>
            </w:r>
            <w:r w:rsidRPr="007506B1">
              <w:rPr>
                <w:i/>
                <w:color w:val="FF0000"/>
                <w:u w:val="single"/>
              </w:rPr>
              <w:t>SRS-</w:t>
            </w:r>
            <w:proofErr w:type="spellStart"/>
            <w:r w:rsidRPr="007506B1">
              <w:rPr>
                <w:i/>
                <w:color w:val="FF0000"/>
                <w:u w:val="single"/>
              </w:rPr>
              <w:t>ResourceSet</w:t>
            </w:r>
            <w:proofErr w:type="spellEnd"/>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55FC0591" w14:textId="77777777" w:rsidR="00B41F28" w:rsidRDefault="00B41F28" w:rsidP="00A468B4">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proofErr w:type="spellStart"/>
            <w:r w:rsidRPr="00D26AA7">
              <w:rPr>
                <w:i/>
                <w:iCs/>
                <w:color w:val="000000"/>
              </w:rPr>
              <w:t>srs-SwitchFromServCellIndex</w:t>
            </w:r>
            <w:proofErr w:type="spellEnd"/>
            <w:r w:rsidRPr="00D26AA7">
              <w:rPr>
                <w:color w:val="000000"/>
              </w:rPr>
              <w:t xml:space="preserve"> </w:t>
            </w:r>
            <w:r>
              <w:rPr>
                <w:color w:val="000000"/>
              </w:rPr>
              <w:t xml:space="preserve">and </w:t>
            </w:r>
            <w:proofErr w:type="spellStart"/>
            <w:r w:rsidRPr="00D26AA7">
              <w:rPr>
                <w:i/>
                <w:iCs/>
                <w:color w:val="000000"/>
              </w:rPr>
              <w:t>srs-SwitchFrom</w:t>
            </w:r>
            <w:r>
              <w:rPr>
                <w:i/>
                <w:iCs/>
                <w:color w:val="000000"/>
              </w:rPr>
              <w:t>Carrier</w:t>
            </w:r>
            <w:proofErr w:type="spellEnd"/>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rPr>
              <w:t xml:space="preserve">), </w:t>
            </w:r>
            <w:r>
              <w:rPr>
                <w:color w:val="000000"/>
              </w:rPr>
              <w:t xml:space="preserve">the UE </w:t>
            </w:r>
            <w:proofErr w:type="gramStart"/>
            <w:r>
              <w:rPr>
                <w:color w:val="000000"/>
              </w:rPr>
              <w:t>temporarily suspends</w:t>
            </w:r>
            <w:proofErr w:type="gramEnd"/>
            <w:r>
              <w:rPr>
                <w:color w:val="000000"/>
              </w:rPr>
              <w:t xml:space="preserve">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698C2458" w14:textId="3BE5CC9A" w:rsidR="00B41F28" w:rsidRDefault="00B41F28" w:rsidP="00B41F28"/>
    <w:p w14:paraId="79E6F480" w14:textId="0115F9E8" w:rsidR="00961F53" w:rsidRDefault="00961F53" w:rsidP="00961F53">
      <w:pPr>
        <w:pStyle w:val="Proposal"/>
      </w:pPr>
      <w:bookmarkStart w:id="6" w:name="_Toc146620959"/>
      <w:r>
        <w:t xml:space="preserve">Correct </w:t>
      </w:r>
      <w:r w:rsidRPr="006F2AED">
        <w:t>38.214 section 6.2.1.3</w:t>
      </w:r>
      <w:r>
        <w:t xml:space="preserve"> by adding the following description of behavior for DCI format 1_1 or 1_2 triggered SRS carrier switching: “</w:t>
      </w:r>
      <w:r w:rsidRPr="00961F53">
        <w:t>For an aperiodic SRS triggered in DCI format 1_1 or 1_2, the UE transmits SRS on one serving cell scheduled by the DCI and the UE in the serving cell transmits the configured one or two SRS resource set(s) with higher layer parameter usage set to ‘</w:t>
      </w:r>
      <w:proofErr w:type="spellStart"/>
      <w:r w:rsidRPr="00961F53">
        <w:t>antennaSwitching</w:t>
      </w:r>
      <w:proofErr w:type="spellEnd"/>
      <w:r w:rsidRPr="00961F53">
        <w:t xml:space="preserve">’ and higher layer parameter </w:t>
      </w:r>
      <w:proofErr w:type="spellStart"/>
      <w:r w:rsidRPr="00961F53">
        <w:t>resourceType</w:t>
      </w:r>
      <w:proofErr w:type="spellEnd"/>
      <w:r w:rsidRPr="00961F53">
        <w:t xml:space="preserve"> in SRS-</w:t>
      </w:r>
      <w:proofErr w:type="spellStart"/>
      <w:r w:rsidRPr="00961F53">
        <w:t>ResourceSet</w:t>
      </w:r>
      <w:proofErr w:type="spellEnd"/>
      <w:r w:rsidRPr="00961F53">
        <w:t xml:space="preserve"> set to ‘aperiodic’.</w:t>
      </w:r>
      <w:r>
        <w:t>”</w:t>
      </w:r>
      <w:bookmarkEnd w:id="6"/>
    </w:p>
    <w:p w14:paraId="4320E843" w14:textId="38E5DEDD" w:rsidR="00B27D55" w:rsidRDefault="00B27D55" w:rsidP="00B27D55">
      <w:r>
        <w:t xml:space="preserve">The above correction addresses problems that exist since Rel-15, and discussions of SRS carrier switching have to date been covered by Rel-15/16 agenda points, so the draft CR </w:t>
      </w:r>
      <w:r>
        <w:fldChar w:fldCharType="begin"/>
      </w:r>
      <w:r>
        <w:instrText xml:space="preserve"> REF _Ref146564714 \r \h </w:instrText>
      </w:r>
      <w:r>
        <w:fldChar w:fldCharType="separate"/>
      </w:r>
      <w:r w:rsidR="00FC4662">
        <w:t>[3]</w:t>
      </w:r>
      <w:r>
        <w:fldChar w:fldCharType="end"/>
      </w:r>
      <w:r>
        <w:t xml:space="preserve"> is written against Rel-15.  However, we recognize that there can be concerns for changes to Rel-15 at this late stage and that corrections for SRS carrier switching for Rel-15 have not been made for some time.  </w:t>
      </w:r>
      <w:r w:rsidR="00A911D4">
        <w:t>However</w:t>
      </w:r>
      <w:r>
        <w:t xml:space="preserve">, </w:t>
      </w:r>
      <w:r w:rsidR="00A911D4">
        <w:t xml:space="preserve">if the CR is agreed for a release after Rel-15, </w:t>
      </w:r>
      <w:r>
        <w:t xml:space="preserve">it should be understood if </w:t>
      </w:r>
      <w:r w:rsidR="00B378E4">
        <w:t xml:space="preserve">implementing the CR in prior releases would cause interoperability test problems, that is, if a “magic sentence” can apply to the CR.  </w:t>
      </w:r>
      <w:r>
        <w:t>Therefore, we would like to discuss what release the CR should target</w:t>
      </w:r>
      <w:r w:rsidR="00B378E4">
        <w:t xml:space="preserve"> and if </w:t>
      </w:r>
      <w:r w:rsidR="004016C2">
        <w:t>the CR can be implemented in earlier releases than the CR without causing interoperability issues</w:t>
      </w:r>
      <w:r>
        <w:t>.</w:t>
      </w:r>
    </w:p>
    <w:p w14:paraId="68D72891" w14:textId="4BA918DE" w:rsidR="00B27D55" w:rsidRDefault="00B27D55" w:rsidP="00B27D55">
      <w:pPr>
        <w:pStyle w:val="Proposal"/>
      </w:pPr>
      <w:bookmarkStart w:id="7" w:name="_Toc146620960"/>
      <w:r>
        <w:t>Discuss which release the correction for 38.214 section 6.2.1.3 should target</w:t>
      </w:r>
      <w:r w:rsidR="004016C2">
        <w:t xml:space="preserve"> and if the CR can be implemented in earlier releases than the CR without causing interoperability issues</w:t>
      </w:r>
      <w:r>
        <w:t>.</w:t>
      </w:r>
      <w:bookmarkEnd w:id="7"/>
    </w:p>
    <w:p w14:paraId="42B071B6" w14:textId="4A0A77D8" w:rsidR="00156561" w:rsidRDefault="00156561" w:rsidP="00156561">
      <w:pPr>
        <w:pStyle w:val="Heading2"/>
      </w:pPr>
      <w:r>
        <w:t xml:space="preserve">2.3 Power control for SRS carrier </w:t>
      </w:r>
      <w:proofErr w:type="gramStart"/>
      <w:r>
        <w:t>switching</w:t>
      </w:r>
      <w:proofErr w:type="gramEnd"/>
    </w:p>
    <w:p w14:paraId="76E7A425" w14:textId="38E5ECDB" w:rsidR="00F521B8" w:rsidRDefault="00F521B8" w:rsidP="00F521B8">
      <w:pPr>
        <w:rPr>
          <w:rFonts w:eastAsiaTheme="minorEastAsia"/>
          <w:lang w:val="en-GB" w:eastAsia="ja-JP"/>
        </w:rPr>
      </w:pPr>
      <w:r>
        <w:rPr>
          <w:lang w:val="en-GB" w:eastAsia="ja-JP"/>
        </w:rPr>
        <w:t xml:space="preserve">Although the use of power control is network implementation, this is not clear for the case of DCI format 1_1/1_2 with SRS carrier switching in the current version of 38.213.  The focus in the current specification is on where power control commands are available, and where they are not available is not explicitly addressed.  As discussed in more detail in </w:t>
      </w:r>
      <w:r w:rsidR="00773776">
        <w:rPr>
          <w:lang w:val="en-GB" w:eastAsia="ja-JP"/>
        </w:rPr>
        <w:fldChar w:fldCharType="begin"/>
      </w:r>
      <w:r w:rsidR="00773776">
        <w:rPr>
          <w:lang w:val="en-GB" w:eastAsia="ja-JP"/>
        </w:rPr>
        <w:instrText xml:space="preserve"> REF _Ref142664398 \r \h </w:instrText>
      </w:r>
      <w:r w:rsidR="00773776">
        <w:rPr>
          <w:lang w:val="en-GB" w:eastAsia="ja-JP"/>
        </w:rPr>
      </w:r>
      <w:r w:rsidR="00773776">
        <w:rPr>
          <w:lang w:val="en-GB" w:eastAsia="ja-JP"/>
        </w:rPr>
        <w:fldChar w:fldCharType="separate"/>
      </w:r>
      <w:r w:rsidR="00FC4662">
        <w:rPr>
          <w:lang w:val="en-GB" w:eastAsia="ja-JP"/>
        </w:rPr>
        <w:t>[1]</w:t>
      </w:r>
      <w:r w:rsidR="00773776">
        <w:rPr>
          <w:lang w:val="en-GB" w:eastAsia="ja-JP"/>
        </w:rPr>
        <w:fldChar w:fldCharType="end"/>
      </w:r>
      <w:r>
        <w:rPr>
          <w:lang w:val="en-GB" w:eastAsia="ja-JP"/>
        </w:rPr>
        <w:t xml:space="preserve">, 38.213 section 7.3.1 states that when PUSCH is not configured on the BWP,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Pr>
          <w:rFonts w:eastAsiaTheme="minorEastAsia"/>
          <w:lang w:val="en-GB" w:eastAsia="ja-JP"/>
        </w:rPr>
        <w:t xml:space="preserve"> is jointly coded with other TPC commands in a format 2_3 DCI.  This should be read with </w:t>
      </w:r>
      <w:r w:rsidRPr="00F23729">
        <w:rPr>
          <w:rFonts w:eastAsiaTheme="minorEastAsia"/>
          <w:lang w:val="en-GB" w:eastAsia="ja-JP"/>
        </w:rPr>
        <w:t>the</w:t>
      </w:r>
      <w:r w:rsidRPr="00F23729">
        <w:rPr>
          <w:rFonts w:eastAsiaTheme="minorEastAsia"/>
          <w:color w:val="FF0000"/>
          <w:lang w:val="en-GB" w:eastAsia="ja-JP"/>
        </w:rPr>
        <w:t xml:space="preserve"> </w:t>
      </w:r>
      <w:r w:rsidRPr="00F23729">
        <w:rPr>
          <w:rFonts w:eastAsiaTheme="minorEastAsia"/>
          <w:color w:val="FF0000"/>
          <w:u w:val="single"/>
          <w:lang w:val="en-GB" w:eastAsia="ja-JP"/>
        </w:rPr>
        <w:t>understanding</w:t>
      </w:r>
      <w:r w:rsidRPr="00F23729">
        <w:rPr>
          <w:rFonts w:eastAsiaTheme="minorEastAsia"/>
          <w:color w:val="FF0000"/>
          <w:lang w:val="en-GB" w:eastAsia="ja-JP"/>
        </w:rPr>
        <w:t xml:space="preserve"> </w:t>
      </w:r>
      <w:r>
        <w:rPr>
          <w:rFonts w:eastAsiaTheme="minorEastAsia"/>
          <w:lang w:val="en-GB" w:eastAsia="ja-JP"/>
        </w:rPr>
        <w:t xml:space="preserve">that format 2_3 is optional when SRS carrier switching is used, </w:t>
      </w:r>
      <w:proofErr w:type="gramStart"/>
      <w:r>
        <w:rPr>
          <w:rFonts w:eastAsiaTheme="minorEastAsia"/>
          <w:lang w:val="en-GB" w:eastAsia="ja-JP"/>
        </w:rPr>
        <w:t>i.e.</w:t>
      </w:r>
      <w:proofErr w:type="gramEnd"/>
      <w:r>
        <w:rPr>
          <w:rFonts w:eastAsiaTheme="minorEastAsia"/>
          <w:lang w:val="en-GB" w:eastAsia="ja-JP"/>
        </w:rPr>
        <w:t xml:space="preserve"> as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Pr>
          <w:rFonts w:eastAsiaTheme="minorEastAsia"/>
          <w:lang w:val="en-GB" w:eastAsia="ja-JP"/>
        </w:rPr>
        <w:t xml:space="preserve"> is jointly coded with other TPC commands in a format 2_3 DCI</w:t>
      </w:r>
      <w:r w:rsidRPr="00CE7A4D">
        <w:rPr>
          <w:rFonts w:eastAsiaTheme="minorEastAsia"/>
          <w:color w:val="FF0000"/>
          <w:u w:val="single"/>
          <w:lang w:val="en-GB" w:eastAsia="ja-JP"/>
        </w:rPr>
        <w:t>, if present</w:t>
      </w:r>
      <w:r>
        <w:rPr>
          <w:rFonts w:eastAsiaTheme="minorEastAsia"/>
          <w:lang w:val="en-GB" w:eastAsia="ja-JP"/>
        </w:rPr>
        <w:t xml:space="preserve">’.  However, the behaviour for other optional values is explicitly described for power control, </w:t>
      </w:r>
      <w:proofErr w:type="gramStart"/>
      <w:r>
        <w:rPr>
          <w:rFonts w:eastAsiaTheme="minorEastAsia"/>
          <w:lang w:val="en-GB" w:eastAsia="ja-JP"/>
        </w:rPr>
        <w:t>e.g.</w:t>
      </w:r>
      <w:proofErr w:type="gramEnd"/>
      <w:r>
        <w:rPr>
          <w:rFonts w:eastAsiaTheme="minorEastAsia"/>
          <w:lang w:val="en-GB" w:eastAsia="ja-JP"/>
        </w:rPr>
        <w:t xml:space="preserve"> for </w:t>
      </w:r>
      <w:proofErr w:type="spellStart"/>
      <w:r w:rsidRPr="00E27566">
        <w:rPr>
          <w:rFonts w:eastAsiaTheme="minorEastAsia"/>
          <w:i/>
          <w:iCs/>
          <w:lang w:val="en-GB" w:eastAsia="ja-JP"/>
        </w:rPr>
        <w:t>srs-PowerControlAdjustmentStates</w:t>
      </w:r>
      <w:proofErr w:type="spellEnd"/>
      <w:r w:rsidRPr="00E27566">
        <w:rPr>
          <w:rFonts w:eastAsiaTheme="minorEastAsia"/>
          <w:lang w:val="en-GB" w:eastAsia="ja-JP"/>
        </w:rPr>
        <w:t xml:space="preserve"> </w:t>
      </w:r>
      <w:r>
        <w:rPr>
          <w:rFonts w:eastAsiaTheme="minorEastAsia"/>
          <w:lang w:val="en-GB" w:eastAsia="ja-JP"/>
        </w:rPr>
        <w:t xml:space="preserve">and </w:t>
      </w:r>
      <w:proofErr w:type="spellStart"/>
      <w:r w:rsidRPr="00E27566">
        <w:rPr>
          <w:rFonts w:eastAsiaTheme="minorEastAsia"/>
          <w:i/>
          <w:iCs/>
          <w:lang w:val="en-GB" w:eastAsia="ja-JP"/>
        </w:rPr>
        <w:t>tpc</w:t>
      </w:r>
      <w:proofErr w:type="spellEnd"/>
      <w:r w:rsidRPr="00E27566">
        <w:rPr>
          <w:rFonts w:eastAsiaTheme="minorEastAsia"/>
          <w:i/>
          <w:iCs/>
          <w:lang w:val="en-GB" w:eastAsia="ja-JP"/>
        </w:rPr>
        <w:t>-Accumulation</w:t>
      </w:r>
      <w:r>
        <w:rPr>
          <w:rFonts w:eastAsiaTheme="minorEastAsia"/>
          <w:lang w:val="en-GB" w:eastAsia="ja-JP"/>
        </w:rPr>
        <w:t xml:space="preserve">.  Since these are explicitly called out, to be consistent, the behaviour for format 2_3 could be interpreted as that when PUSCH is not configured on the BWP, a UE should expect it may receive a format 2_3 DCI with a TPC command jointly </w:t>
      </w:r>
      <w:r>
        <w:rPr>
          <w:lang w:val="en-GB" w:eastAsia="ja-JP"/>
        </w:rPr>
        <w:t xml:space="preserve">coded with a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Pr>
          <w:rFonts w:eastAsiaTheme="minorEastAsia"/>
          <w:lang w:val="en-GB" w:eastAsia="ja-JP"/>
        </w:rPr>
        <w:t xml:space="preserve">.  </w:t>
      </w:r>
    </w:p>
    <w:p w14:paraId="2F911801" w14:textId="77777777" w:rsidR="00F521B8" w:rsidRDefault="00F521B8" w:rsidP="00F521B8">
      <w:pPr>
        <w:pStyle w:val="Observation"/>
        <w:rPr>
          <w:lang w:val="en-GB"/>
        </w:rPr>
      </w:pPr>
      <w:bookmarkStart w:id="8" w:name="_Toc146620957"/>
      <w:r>
        <w:rPr>
          <w:lang w:val="en-GB"/>
        </w:rPr>
        <w:t xml:space="preserve">The specification of SRS carrier switching power control in 38.213 section 7.3.1 should be read as not requiring (the optional) DCI format 2_3, however this is inconsistent with the specification of other optional power control features for SRS carrier switching such as </w:t>
      </w:r>
      <w:proofErr w:type="spellStart"/>
      <w:r w:rsidRPr="001377CD">
        <w:rPr>
          <w:i/>
          <w:iCs/>
          <w:lang w:val="en-GB"/>
        </w:rPr>
        <w:t>srs-PowerControlAdjustmentStates</w:t>
      </w:r>
      <w:proofErr w:type="spellEnd"/>
      <w:r w:rsidRPr="001377CD">
        <w:rPr>
          <w:lang w:val="en-GB"/>
        </w:rPr>
        <w:t xml:space="preserve"> and </w:t>
      </w:r>
      <w:proofErr w:type="spellStart"/>
      <w:r w:rsidRPr="001377CD">
        <w:rPr>
          <w:i/>
          <w:iCs/>
          <w:lang w:val="en-GB"/>
        </w:rPr>
        <w:t>tpc</w:t>
      </w:r>
      <w:proofErr w:type="spellEnd"/>
      <w:r w:rsidRPr="001377CD">
        <w:rPr>
          <w:i/>
          <w:iCs/>
          <w:lang w:val="en-GB"/>
        </w:rPr>
        <w:t>-Accumulation</w:t>
      </w:r>
      <w:r>
        <w:rPr>
          <w:lang w:val="en-GB"/>
        </w:rPr>
        <w:t>.</w:t>
      </w:r>
      <w:bookmarkEnd w:id="8"/>
    </w:p>
    <w:p w14:paraId="6C529BE1" w14:textId="77777777" w:rsidR="00F521B8" w:rsidRDefault="00F521B8" w:rsidP="00F521B8">
      <w:pPr>
        <w:rPr>
          <w:lang w:val="en-GB" w:eastAsia="ja-JP"/>
        </w:rPr>
      </w:pPr>
      <w:r w:rsidRPr="00D03863">
        <w:rPr>
          <w:lang w:val="en-GB" w:eastAsia="ja-JP"/>
        </w:rPr>
        <w:lastRenderedPageBreak/>
        <w:t xml:space="preserve">Identifying that the UE only receives power control commands from DCI 2_3 and applies closed loop power control for SRS carrier switching </w:t>
      </w:r>
      <w:r>
        <w:rPr>
          <w:lang w:val="en-GB" w:eastAsia="ja-JP"/>
        </w:rPr>
        <w:t xml:space="preserve">when the UE is configured with the optional parameter </w:t>
      </w:r>
      <w:proofErr w:type="spellStart"/>
      <w:r w:rsidRPr="008B7572">
        <w:rPr>
          <w:lang w:val="en-GB" w:eastAsia="ja-JP"/>
        </w:rPr>
        <w:t>tpc</w:t>
      </w:r>
      <w:proofErr w:type="spellEnd"/>
      <w:r w:rsidRPr="008B7572">
        <w:rPr>
          <w:lang w:val="en-GB" w:eastAsia="ja-JP"/>
        </w:rPr>
        <w:t xml:space="preserve">-SRS-RNTI </w:t>
      </w:r>
      <w:r w:rsidRPr="00D03863">
        <w:rPr>
          <w:lang w:val="en-GB" w:eastAsia="ja-JP"/>
        </w:rPr>
        <w:t xml:space="preserve">can be </w:t>
      </w:r>
      <w:r>
        <w:rPr>
          <w:lang w:val="en-GB" w:eastAsia="ja-JP"/>
        </w:rPr>
        <w:t xml:space="preserve">done </w:t>
      </w:r>
      <w:r w:rsidRPr="00D03863">
        <w:rPr>
          <w:lang w:val="en-GB" w:eastAsia="ja-JP"/>
        </w:rPr>
        <w:t>with the following change to 38.213 section 7.3.1:</w:t>
      </w:r>
    </w:p>
    <w:p w14:paraId="3832E573" w14:textId="5C8D9D5C" w:rsidR="00F521B8" w:rsidRPr="00D03863" w:rsidRDefault="00F521B8" w:rsidP="00F521B8">
      <w:pPr>
        <w:rPr>
          <w:b/>
          <w:bCs/>
          <w:u w:val="single"/>
          <w:lang w:val="en-GB"/>
        </w:rPr>
      </w:pPr>
      <w:r w:rsidRPr="006B1AE0">
        <w:rPr>
          <w:b/>
          <w:bCs/>
          <w:u w:val="single"/>
          <w:lang w:val="en-GB"/>
        </w:rPr>
        <w:t>Text Proposal 2.</w:t>
      </w:r>
      <w:r w:rsidR="00AF0577">
        <w:rPr>
          <w:b/>
          <w:bCs/>
          <w:u w:val="single"/>
          <w:lang w:val="en-GB"/>
        </w:rPr>
        <w:t>3</w:t>
      </w:r>
      <w:r w:rsidRPr="006B1AE0">
        <w:rPr>
          <w:b/>
          <w:bCs/>
          <w:u w:val="single"/>
          <w:lang w:val="en-GB"/>
        </w:rPr>
        <w:t>:</w:t>
      </w:r>
    </w:p>
    <w:tbl>
      <w:tblPr>
        <w:tblStyle w:val="TableGrid"/>
        <w:tblW w:w="0" w:type="auto"/>
        <w:tblLook w:val="04A0" w:firstRow="1" w:lastRow="0" w:firstColumn="1" w:lastColumn="0" w:noHBand="0" w:noVBand="1"/>
      </w:tblPr>
      <w:tblGrid>
        <w:gridCol w:w="9629"/>
      </w:tblGrid>
      <w:tr w:rsidR="00F521B8" w14:paraId="4AB26AA1" w14:textId="77777777" w:rsidTr="00A468B4">
        <w:tc>
          <w:tcPr>
            <w:tcW w:w="9629" w:type="dxa"/>
          </w:tcPr>
          <w:p w14:paraId="13993709" w14:textId="77777777" w:rsidR="00F521B8" w:rsidRPr="00974A34" w:rsidRDefault="00F521B8" w:rsidP="00A468B4">
            <w:pPr>
              <w:spacing w:after="180" w:line="240" w:lineRule="auto"/>
              <w:ind w:left="568" w:hanging="284"/>
              <w:rPr>
                <w:rFonts w:ascii="Times New Roman" w:eastAsia="Times New Roman" w:hAnsi="Times New Roman" w:cs="Times New Roman"/>
                <w:szCs w:val="20"/>
              </w:rPr>
            </w:pP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rPr>
              <w:tab/>
              <w:t>For the SRS</w:t>
            </w:r>
            <w:r w:rsidRPr="00974A34">
              <w:rPr>
                <w:rFonts w:ascii="Times New Roman" w:eastAsia="Times New Roman" w:hAnsi="Times New Roman" w:cs="Times New Roman"/>
                <w:szCs w:val="20"/>
                <w:lang w:val="en-GB"/>
              </w:rPr>
              <w:t xml:space="preserve"> power control adjustment state for </w:t>
            </w:r>
            <w:r w:rsidRPr="00974A34">
              <w:rPr>
                <w:rFonts w:ascii="Times New Roman" w:eastAsia="Times New Roman" w:hAnsi="Times New Roman" w:cs="Times New Roman"/>
                <w:szCs w:val="20"/>
              </w:rPr>
              <w:t xml:space="preserve">active UL BWP </w:t>
            </w:r>
            <w:r w:rsidRPr="00974A34">
              <w:rPr>
                <w:rFonts w:ascii="Times New Roman" w:eastAsia="Times New Roman" w:hAnsi="Times New Roman" w:cs="Times New Roman"/>
                <w:iCs/>
                <w:noProof/>
                <w:position w:val="-6"/>
                <w:sz w:val="20"/>
                <w:szCs w:val="20"/>
                <w:lang w:val="en-GB"/>
              </w:rPr>
              <w:object w:dxaOrig="180" w:dyaOrig="260" w14:anchorId="7F527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5pt;height:12.55pt;mso-width-percent:0;mso-height-percent:0;mso-width-percent:0;mso-height-percent:0" o:ole="">
                  <v:imagedata r:id="rId11" o:title=""/>
                </v:shape>
                <o:OLEObject Type="Embed" ProgID="Equation.3" ShapeID="_x0000_i1025" DrawAspect="Content" ObjectID="_1757500557" r:id="rId12"/>
              </w:object>
            </w:r>
            <w:r w:rsidRPr="00974A34">
              <w:rPr>
                <w:rFonts w:ascii="Times New Roman" w:eastAsia="Times New Roman" w:hAnsi="Times New Roman" w:cs="Times New Roman"/>
                <w:iCs/>
                <w:szCs w:val="20"/>
              </w:rPr>
              <w:t xml:space="preserve"> </w:t>
            </w:r>
            <w:r w:rsidRPr="00974A34">
              <w:rPr>
                <w:rFonts w:ascii="Times New Roman" w:eastAsia="Times New Roman" w:hAnsi="Times New Roman" w:cs="Times New Roman"/>
                <w:szCs w:val="20"/>
              </w:rPr>
              <w:t xml:space="preserve">of </w:t>
            </w:r>
            <w:r w:rsidRPr="00974A34">
              <w:rPr>
                <w:rFonts w:ascii="Times New Roman" w:eastAsia="Times New Roman" w:hAnsi="Times New Roman" w:cs="Times New Roman"/>
                <w:szCs w:val="20"/>
                <w:lang w:val="en-GB"/>
              </w:rPr>
              <w:t xml:space="preserve">carrier </w:t>
            </w:r>
            <w:r w:rsidRPr="00974A34">
              <w:rPr>
                <w:rFonts w:ascii="Times New Roman" w:eastAsia="Times New Roman" w:hAnsi="Times New Roman" w:cs="Times New Roman"/>
                <w:iCs/>
                <w:noProof/>
                <w:position w:val="-10"/>
                <w:sz w:val="20"/>
                <w:szCs w:val="20"/>
                <w:lang w:val="en-GB"/>
              </w:rPr>
              <w:object w:dxaOrig="220" w:dyaOrig="300" w14:anchorId="1AA6E031">
                <v:shape id="_x0000_i1026" type="#_x0000_t75" alt="" style="width:7.1pt;height:12.55pt;mso-width-percent:0;mso-height-percent:0;mso-width-percent:0;mso-height-percent:0" o:ole="">
                  <v:imagedata r:id="rId13" o:title=""/>
                </v:shape>
                <o:OLEObject Type="Embed" ProgID="Equation.3" ShapeID="_x0000_i1026" DrawAspect="Content" ObjectID="_1757500558" r:id="rId14"/>
              </w:object>
            </w:r>
            <w:r w:rsidRPr="00974A34">
              <w:rPr>
                <w:rFonts w:ascii="Times New Roman" w:eastAsia="Times New Roman" w:hAnsi="Times New Roman" w:cs="Times New Roman"/>
                <w:iCs/>
                <w:szCs w:val="20"/>
                <w:lang w:val="en-GB"/>
              </w:rPr>
              <w:t xml:space="preserve"> of</w:t>
            </w:r>
            <w:r w:rsidRPr="00974A34">
              <w:rPr>
                <w:rFonts w:ascii="Times New Roman" w:eastAsia="Times New Roman" w:hAnsi="Times New Roman" w:cs="Times New Roman"/>
                <w:szCs w:val="20"/>
                <w:lang w:val="en-GB"/>
              </w:rPr>
              <w:t xml:space="preserve"> serving cell </w:t>
            </w:r>
            <w:r w:rsidRPr="00974A34">
              <w:rPr>
                <w:rFonts w:ascii="Times New Roman" w:eastAsia="Times New Roman" w:hAnsi="Times New Roman" w:cs="Times New Roman"/>
                <w:iCs/>
                <w:noProof/>
                <w:position w:val="-6"/>
                <w:sz w:val="20"/>
                <w:szCs w:val="20"/>
                <w:lang w:val="en-GB"/>
              </w:rPr>
              <w:object w:dxaOrig="160" w:dyaOrig="200" w14:anchorId="0EF36F2D">
                <v:shape id="_x0000_i1027" type="#_x0000_t75" alt="" style="width:7.1pt;height:12.55pt;mso-width-percent:0;mso-height-percent:0;mso-width-percent:0;mso-height-percent:0" o:ole="">
                  <v:imagedata r:id="rId15" o:title=""/>
                </v:shape>
                <o:OLEObject Type="Embed" ProgID="Equation.3" ShapeID="_x0000_i1027" DrawAspect="Content" ObjectID="_1757500559" r:id="rId16"/>
              </w:object>
            </w:r>
            <w:r w:rsidRPr="00974A34">
              <w:rPr>
                <w:rFonts w:ascii="Times New Roman" w:eastAsia="Times New Roman" w:hAnsi="Times New Roman" w:cs="Times New Roman"/>
                <w:szCs w:val="20"/>
              </w:rPr>
              <w:t xml:space="preserve"> and SRS transmission occasion </w:t>
            </w:r>
            <w:r w:rsidRPr="00974A34">
              <w:rPr>
                <w:rFonts w:ascii="Times New Roman" w:eastAsia="Times New Roman" w:hAnsi="Times New Roman" w:cs="Times New Roman"/>
                <w:noProof/>
                <w:position w:val="-6"/>
                <w:sz w:val="20"/>
                <w:szCs w:val="20"/>
                <w:lang w:val="en-GB"/>
              </w:rPr>
              <w:object w:dxaOrig="139" w:dyaOrig="240" w14:anchorId="2BFCCDBE">
                <v:shape id="_x0000_i1028" type="#_x0000_t75" alt="" style="width:7.1pt;height:12.55pt;mso-width-percent:0;mso-height-percent:0;mso-width-percent:0;mso-height-percent:0" o:ole="">
                  <v:imagedata r:id="rId17" o:title=""/>
                </v:shape>
                <o:OLEObject Type="Embed" ProgID="Equation.3" ShapeID="_x0000_i1028" DrawAspect="Content" ObjectID="_1757500560" r:id="rId18"/>
              </w:object>
            </w:r>
          </w:p>
          <w:p w14:paraId="77E107F8" w14:textId="77777777" w:rsidR="00F521B8" w:rsidRPr="00974A34" w:rsidRDefault="00F521B8" w:rsidP="00A468B4">
            <w:pPr>
              <w:spacing w:after="180" w:line="240" w:lineRule="auto"/>
              <w:ind w:left="851" w:hanging="284"/>
              <w:rPr>
                <w:rFonts w:ascii="Times New Roman" w:eastAsia="Times New Roman" w:hAnsi="Times New Roman" w:cs="Times New Roman"/>
                <w:szCs w:val="20"/>
                <w:lang w:val="en-GB"/>
              </w:rPr>
            </w:pPr>
            <w:r w:rsidRPr="00974A34">
              <w:rPr>
                <w:rFonts w:ascii="Times New Roman" w:eastAsia="Times New Roman" w:hAnsi="Times New Roman" w:cs="Times New Roman"/>
                <w:szCs w:val="20"/>
                <w:lang w:val="en-GB"/>
              </w:rPr>
              <w:t>-</w:t>
            </w:r>
            <w:r w:rsidRPr="00974A34">
              <w:rPr>
                <w:rFonts w:ascii="Times New Roman" w:eastAsia="Times New Roman" w:hAnsi="Times New Roman" w:cs="Times New Roman"/>
                <w:szCs w:val="20"/>
                <w:lang w:val="en-GB"/>
              </w:rPr>
              <w:tab/>
            </w:r>
            <w:r w:rsidRPr="00974A34">
              <w:rPr>
                <w:rFonts w:ascii="Times New Roman" w:eastAsia="Times New Roman" w:hAnsi="Times New Roman" w:cs="Times New Roman"/>
                <w:noProof/>
                <w:position w:val="-12"/>
                <w:sz w:val="20"/>
                <w:szCs w:val="20"/>
                <w:lang w:val="en-GB"/>
              </w:rPr>
              <w:object w:dxaOrig="1740" w:dyaOrig="320" w14:anchorId="1C6DB4F0">
                <v:shape id="_x0000_i1029" type="#_x0000_t75" alt="" style="width:91.1pt;height:12.55pt;mso-width-percent:0;mso-height-percent:0;mso-width-percent:0;mso-height-percent:0" o:ole="">
                  <v:imagedata r:id="rId19" o:title=""/>
                </v:shape>
                <o:OLEObject Type="Embed" ProgID="Equation.3" ShapeID="_x0000_i1029" DrawAspect="Content" ObjectID="_1757500561" r:id="rId20"/>
              </w:object>
            </w:r>
            <w:r w:rsidRPr="00974A34">
              <w:rPr>
                <w:rFonts w:ascii="Times New Roman" w:eastAsia="Times New Roman" w:hAnsi="Times New Roman" w:cs="Times New Roman"/>
                <w:szCs w:val="20"/>
                <w:lang w:val="en-GB"/>
              </w:rPr>
              <w:t xml:space="preserve">, </w:t>
            </w:r>
            <w:r w:rsidRPr="00974A34">
              <w:rPr>
                <w:rFonts w:ascii="Times New Roman" w:eastAsia="Times New Roman" w:hAnsi="Times New Roman" w:cs="Times New Roman"/>
                <w:szCs w:val="20"/>
              </w:rPr>
              <w:t xml:space="preserve">where </w:t>
            </w:r>
            <w:r w:rsidRPr="00974A34">
              <w:rPr>
                <w:rFonts w:ascii="Times New Roman" w:eastAsia="Times New Roman" w:hAnsi="Times New Roman" w:cs="Times New Roman"/>
                <w:noProof/>
                <w:position w:val="-12"/>
                <w:sz w:val="20"/>
                <w:szCs w:val="20"/>
                <w:lang w:val="en-GB"/>
              </w:rPr>
              <w:object w:dxaOrig="800" w:dyaOrig="320" w14:anchorId="37C31688">
                <v:shape id="_x0000_i1030" type="#_x0000_t75" alt="" style="width:45.8pt;height:12.55pt;mso-width-percent:0;mso-height-percent:0;mso-width-percent:0;mso-height-percent:0" o:ole="">
                  <v:imagedata r:id="rId21" o:title=""/>
                </v:shape>
                <o:OLEObject Type="Embed" ProgID="Equation.3" ShapeID="_x0000_i1030" DrawAspect="Content" ObjectID="_1757500562" r:id="rId22"/>
              </w:object>
            </w:r>
            <w:r w:rsidRPr="00974A34">
              <w:rPr>
                <w:rFonts w:ascii="Times New Roman" w:eastAsia="Times New Roman" w:hAnsi="Times New Roman" w:cs="Times New Roman"/>
                <w:szCs w:val="20"/>
              </w:rPr>
              <w:t xml:space="preserve"> is </w:t>
            </w:r>
            <w:r w:rsidRPr="00974A34">
              <w:rPr>
                <w:rFonts w:ascii="Times New Roman" w:eastAsia="Times New Roman" w:hAnsi="Times New Roman" w:cs="Times New Roman"/>
                <w:szCs w:val="20"/>
                <w:lang w:val="en-GB"/>
              </w:rPr>
              <w:t>the current PUSCH power control adjustment state as described in Clause</w:t>
            </w:r>
            <w:r w:rsidRPr="00974A34">
              <w:rPr>
                <w:rFonts w:ascii="Times New Roman" w:eastAsia="Times New Roman" w:hAnsi="Times New Roman" w:cs="Times New Roman"/>
                <w:szCs w:val="20"/>
              </w:rPr>
              <w:t xml:space="preserve"> 7.1.1</w:t>
            </w:r>
            <w:r w:rsidRPr="00974A34">
              <w:rPr>
                <w:rFonts w:ascii="Times New Roman" w:eastAsia="Times New Roman" w:hAnsi="Times New Roman" w:cs="Times New Roman"/>
                <w:szCs w:val="20"/>
                <w:lang w:val="en-GB"/>
              </w:rPr>
              <w:t xml:space="preserve">, if </w:t>
            </w:r>
            <w:proofErr w:type="spellStart"/>
            <w:r w:rsidRPr="00974A34">
              <w:rPr>
                <w:rFonts w:ascii="Times New Roman" w:eastAsia="Times New Roman" w:hAnsi="Times New Roman" w:cs="Times New Roman"/>
                <w:i/>
                <w:szCs w:val="20"/>
                <w:lang w:val="en-GB"/>
              </w:rPr>
              <w:t>srs-PowerControlAdjustmentStates</w:t>
            </w:r>
            <w:proofErr w:type="spellEnd"/>
            <w:r w:rsidRPr="00974A34">
              <w:rPr>
                <w:rFonts w:ascii="Times New Roman" w:eastAsia="Times New Roman" w:hAnsi="Times New Roman" w:cs="Times New Roman"/>
                <w:szCs w:val="20"/>
                <w:lang w:val="en-GB"/>
              </w:rPr>
              <w:t xml:space="preserve"> indicates a same power control adjustment state for SRS transmissions and PUSCH transmissions; or</w:t>
            </w:r>
          </w:p>
          <w:p w14:paraId="0EFB9BAD" w14:textId="77777777" w:rsidR="00F521B8" w:rsidRPr="00974A34" w:rsidRDefault="00F521B8" w:rsidP="00A468B4">
            <w:pPr>
              <w:spacing w:after="180" w:line="240" w:lineRule="auto"/>
              <w:ind w:left="851" w:hanging="284"/>
              <w:rPr>
                <w:rFonts w:ascii="Times New Roman" w:eastAsia="Times New Roman" w:hAnsi="Times New Roman" w:cs="Times New Roman"/>
                <w:szCs w:val="20"/>
                <w:lang w:val="en-GB"/>
              </w:rPr>
            </w:pPr>
            <w:r w:rsidRPr="00974A34">
              <w:rPr>
                <w:rFonts w:ascii="Times New Roman" w:eastAsia="Times New Roman" w:hAnsi="Times New Roman" w:cs="Times New Roman"/>
                <w:szCs w:val="20"/>
                <w:lang w:val="en-GB"/>
              </w:rPr>
              <w:t>-</w:t>
            </w:r>
            <w:r w:rsidRPr="00974A34">
              <w:rPr>
                <w:rFonts w:ascii="Times New Roman" w:eastAsia="Times New Roman" w:hAnsi="Times New Roman" w:cs="Times New Roman"/>
                <w:szCs w:val="20"/>
                <w:lang w:val="en-GB"/>
              </w:rPr>
              <w:tab/>
            </w:r>
            <w:r w:rsidRPr="00974A34">
              <w:rPr>
                <w:rFonts w:ascii="Times New Roman" w:eastAsia="Times New Roman" w:hAnsi="Times New Roman" w:cs="Times New Roman"/>
                <w:noProof/>
                <w:position w:val="-24"/>
                <w:sz w:val="20"/>
                <w:szCs w:val="20"/>
                <w:lang w:val="en-GB"/>
              </w:rPr>
              <w:object w:dxaOrig="3220" w:dyaOrig="600" w14:anchorId="524433DA">
                <v:shape id="_x0000_i1031" type="#_x0000_t75" alt="" style="width:156.55pt;height:25.1pt;mso-width-percent:0;mso-height-percent:0;mso-width-percent:0;mso-height-percent:0" o:ole="">
                  <v:imagedata r:id="rId23" o:title=""/>
                </v:shape>
                <o:OLEObject Type="Embed" ProgID="Equation.3" ShapeID="_x0000_i1031" DrawAspect="Content" ObjectID="_1757500563" r:id="rId24"/>
              </w:object>
            </w:r>
            <w:r w:rsidRPr="00974A34">
              <w:rPr>
                <w:rFonts w:ascii="Times New Roman" w:eastAsia="Times New Roman" w:hAnsi="Times New Roman" w:cs="Times New Roman"/>
                <w:szCs w:val="20"/>
              </w:rPr>
              <w:t xml:space="preserve"> if the UE is not configured for PUSCH transmissions on active UL BWP </w:t>
            </w:r>
            <w:r w:rsidRPr="00974A34">
              <w:rPr>
                <w:rFonts w:ascii="Times New Roman" w:eastAsia="Times New Roman" w:hAnsi="Times New Roman" w:cs="Times New Roman"/>
                <w:iCs/>
                <w:noProof/>
                <w:position w:val="-6"/>
                <w:sz w:val="20"/>
                <w:szCs w:val="20"/>
                <w:lang w:val="en-GB"/>
              </w:rPr>
              <w:object w:dxaOrig="180" w:dyaOrig="260" w14:anchorId="1D8600DF">
                <v:shape id="_x0000_i1032" type="#_x0000_t75" alt="" style="width:12.55pt;height:12.55pt;mso-width-percent:0;mso-height-percent:0;mso-width-percent:0;mso-height-percent:0" o:ole="">
                  <v:imagedata r:id="rId11" o:title=""/>
                </v:shape>
                <o:OLEObject Type="Embed" ProgID="Equation.3" ShapeID="_x0000_i1032" DrawAspect="Content" ObjectID="_1757500564" r:id="rId25"/>
              </w:object>
            </w:r>
            <w:r w:rsidRPr="00974A34">
              <w:rPr>
                <w:rFonts w:ascii="Times New Roman" w:eastAsia="Times New Roman" w:hAnsi="Times New Roman" w:cs="Times New Roman"/>
                <w:iCs/>
                <w:szCs w:val="20"/>
              </w:rPr>
              <w:t xml:space="preserve"> </w:t>
            </w:r>
            <w:r w:rsidRPr="00974A34">
              <w:rPr>
                <w:rFonts w:ascii="Times New Roman" w:eastAsia="Times New Roman" w:hAnsi="Times New Roman" w:cs="Times New Roman"/>
                <w:szCs w:val="20"/>
              </w:rPr>
              <w:t xml:space="preserve">of </w:t>
            </w:r>
            <w:r w:rsidRPr="00974A34">
              <w:rPr>
                <w:rFonts w:ascii="Times New Roman" w:eastAsia="Times New Roman" w:hAnsi="Times New Roman" w:cs="Times New Roman"/>
                <w:szCs w:val="20"/>
                <w:lang w:val="en-GB"/>
              </w:rPr>
              <w:t xml:space="preserve">carrier </w:t>
            </w:r>
            <w:r w:rsidRPr="00974A34">
              <w:rPr>
                <w:rFonts w:ascii="Times New Roman" w:eastAsia="Times New Roman" w:hAnsi="Times New Roman" w:cs="Times New Roman"/>
                <w:iCs/>
                <w:noProof/>
                <w:position w:val="-10"/>
                <w:sz w:val="20"/>
                <w:szCs w:val="20"/>
                <w:lang w:val="en-GB"/>
              </w:rPr>
              <w:object w:dxaOrig="220" w:dyaOrig="300" w14:anchorId="38DC3A36">
                <v:shape id="_x0000_i1033" type="#_x0000_t75" alt="" style="width:12.55pt;height:12.55pt;mso-width-percent:0;mso-height-percent:0;mso-width-percent:0;mso-height-percent:0" o:ole="">
                  <v:imagedata r:id="rId13" o:title=""/>
                </v:shape>
                <o:OLEObject Type="Embed" ProgID="Equation.3" ShapeID="_x0000_i1033" DrawAspect="Content" ObjectID="_1757500565" r:id="rId26"/>
              </w:object>
            </w:r>
            <w:r w:rsidRPr="00974A34">
              <w:rPr>
                <w:rFonts w:ascii="Times New Roman" w:eastAsia="Times New Roman" w:hAnsi="Times New Roman" w:cs="Times New Roman"/>
                <w:iCs/>
                <w:szCs w:val="20"/>
                <w:lang w:val="en-GB"/>
              </w:rPr>
              <w:t xml:space="preserve"> of</w:t>
            </w:r>
            <w:r w:rsidRPr="00974A34">
              <w:rPr>
                <w:rFonts w:ascii="Times New Roman" w:eastAsia="Times New Roman" w:hAnsi="Times New Roman" w:cs="Times New Roman"/>
                <w:szCs w:val="20"/>
                <w:lang w:val="en-GB"/>
              </w:rPr>
              <w:t xml:space="preserve"> serving cell </w:t>
            </w:r>
            <w:r w:rsidRPr="00974A34">
              <w:rPr>
                <w:rFonts w:ascii="Times New Roman" w:eastAsia="Times New Roman" w:hAnsi="Times New Roman" w:cs="Times New Roman"/>
                <w:iCs/>
                <w:noProof/>
                <w:position w:val="-6"/>
                <w:sz w:val="20"/>
                <w:szCs w:val="20"/>
                <w:lang w:val="en-GB"/>
              </w:rPr>
              <w:object w:dxaOrig="160" w:dyaOrig="200" w14:anchorId="73B2033B">
                <v:shape id="_x0000_i1034" type="#_x0000_t75" alt="" style="width:7.1pt;height:12.55pt;mso-width-percent:0;mso-height-percent:0;mso-width-percent:0;mso-height-percent:0" o:ole="">
                  <v:imagedata r:id="rId15" o:title=""/>
                </v:shape>
                <o:OLEObject Type="Embed" ProgID="Equation.3" ShapeID="_x0000_i1034" DrawAspect="Content" ObjectID="_1757500566" r:id="rId27"/>
              </w:object>
            </w:r>
            <w:r w:rsidRPr="00974A34">
              <w:rPr>
                <w:rFonts w:ascii="Times New Roman" w:eastAsia="Times New Roman" w:hAnsi="Times New Roman" w:cs="Times New Roman"/>
                <w:iCs/>
                <w:szCs w:val="20"/>
              </w:rPr>
              <w:t>, or</w:t>
            </w:r>
            <w:r w:rsidRPr="00974A34">
              <w:rPr>
                <w:rFonts w:ascii="Times New Roman" w:eastAsia="Times New Roman" w:hAnsi="Times New Roman" w:cs="Times New Roman"/>
                <w:szCs w:val="20"/>
                <w:lang w:val="en-GB"/>
              </w:rPr>
              <w:t xml:space="preserve"> if </w:t>
            </w:r>
            <w:proofErr w:type="spellStart"/>
            <w:r w:rsidRPr="00974A34">
              <w:rPr>
                <w:rFonts w:ascii="Times New Roman" w:eastAsia="Times New Roman" w:hAnsi="Times New Roman" w:cs="Times New Roman"/>
                <w:i/>
                <w:szCs w:val="20"/>
                <w:lang w:val="en-GB"/>
              </w:rPr>
              <w:t>srs-PowerControlAdjustmentStates</w:t>
            </w:r>
            <w:proofErr w:type="spellEnd"/>
            <w:r w:rsidRPr="00974A34">
              <w:rPr>
                <w:rFonts w:ascii="Times New Roman" w:eastAsia="Times New Roman" w:hAnsi="Times New Roman" w:cs="Times New Roman"/>
                <w:szCs w:val="20"/>
                <w:lang w:val="en-GB"/>
              </w:rPr>
              <w:t xml:space="preserve"> indicates separate power control adjustment state</w:t>
            </w:r>
            <w:r w:rsidRPr="00974A34">
              <w:rPr>
                <w:rFonts w:ascii="Times New Roman" w:eastAsia="Times New Roman" w:hAnsi="Times New Roman" w:cs="Times New Roman"/>
                <w:szCs w:val="20"/>
              </w:rPr>
              <w:t>s</w:t>
            </w:r>
            <w:r w:rsidRPr="00974A34">
              <w:rPr>
                <w:rFonts w:ascii="Times New Roman" w:eastAsia="Times New Roman" w:hAnsi="Times New Roman" w:cs="Times New Roman"/>
                <w:szCs w:val="20"/>
                <w:lang w:val="en-GB"/>
              </w:rPr>
              <w:t xml:space="preserve"> between SRS transmissions and PUSCH transmissions</w:t>
            </w: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lang w:val="en-GB"/>
              </w:rPr>
              <w:t xml:space="preserve"> and if </w:t>
            </w:r>
            <w:proofErr w:type="spellStart"/>
            <w:r w:rsidRPr="00974A34">
              <w:rPr>
                <w:rFonts w:ascii="Times New Roman" w:eastAsia="Times New Roman" w:hAnsi="Times New Roman" w:cs="Times New Roman"/>
                <w:i/>
                <w:szCs w:val="20"/>
                <w:lang w:val="en-GB"/>
              </w:rPr>
              <w:t>tpc</w:t>
            </w:r>
            <w:proofErr w:type="spellEnd"/>
            <w:r w:rsidRPr="00974A34">
              <w:rPr>
                <w:rFonts w:ascii="Times New Roman" w:eastAsia="Times New Roman" w:hAnsi="Times New Roman" w:cs="Times New Roman"/>
                <w:i/>
                <w:szCs w:val="20"/>
                <w:lang w:val="en-GB"/>
              </w:rPr>
              <w:t>-Accumulation</w:t>
            </w:r>
            <w:r w:rsidRPr="00974A34">
              <w:rPr>
                <w:rFonts w:ascii="Times New Roman" w:eastAsia="Times New Roman" w:hAnsi="Times New Roman" w:cs="Times New Roman"/>
                <w:szCs w:val="20"/>
                <w:lang w:val="en-GB"/>
              </w:rPr>
              <w:t xml:space="preserve"> </w:t>
            </w:r>
            <w:r w:rsidRPr="00974A34">
              <w:rPr>
                <w:rFonts w:ascii="Times New Roman" w:eastAsia="Times New Roman" w:hAnsi="Times New Roman" w:cs="Times New Roman"/>
                <w:szCs w:val="20"/>
              </w:rPr>
              <w:t xml:space="preserve">is not </w:t>
            </w:r>
            <w:r w:rsidRPr="00974A34">
              <w:rPr>
                <w:rFonts w:ascii="Times New Roman" w:eastAsia="Times New Roman" w:hAnsi="Times New Roman" w:cs="Times New Roman"/>
                <w:szCs w:val="20"/>
                <w:lang w:val="en-GB"/>
              </w:rPr>
              <w:t>provided</w:t>
            </w:r>
            <w:r w:rsidRPr="00974A34">
              <w:rPr>
                <w:rFonts w:ascii="Times New Roman" w:eastAsia="Times New Roman" w:hAnsi="Times New Roman" w:cs="Times New Roman"/>
                <w:color w:val="FF0000"/>
                <w:szCs w:val="20"/>
                <w:u w:val="single"/>
                <w:lang w:val="en-GB"/>
              </w:rPr>
              <w:t xml:space="preserve"> but </w:t>
            </w:r>
            <w:proofErr w:type="spellStart"/>
            <w:r w:rsidRPr="00974A34">
              <w:rPr>
                <w:rFonts w:ascii="Times New Roman" w:eastAsia="Times New Roman" w:hAnsi="Times New Roman" w:cs="Times New Roman"/>
                <w:i/>
                <w:color w:val="FF0000"/>
                <w:szCs w:val="20"/>
                <w:u w:val="single"/>
                <w:lang w:val="en-GB"/>
              </w:rPr>
              <w:t>tpc</w:t>
            </w:r>
            <w:proofErr w:type="spellEnd"/>
            <w:r w:rsidRPr="00974A34">
              <w:rPr>
                <w:rFonts w:ascii="Times New Roman" w:eastAsia="Times New Roman" w:hAnsi="Times New Roman" w:cs="Times New Roman"/>
                <w:i/>
                <w:color w:val="FF0000"/>
                <w:szCs w:val="20"/>
                <w:u w:val="single"/>
                <w:lang w:val="en-GB"/>
              </w:rPr>
              <w:t>-SRS-RNTI</w:t>
            </w:r>
            <w:r w:rsidRPr="00974A34">
              <w:rPr>
                <w:rFonts w:ascii="Times New Roman" w:eastAsia="Times New Roman" w:hAnsi="Times New Roman" w:cs="Times New Roman"/>
                <w:color w:val="FF0000"/>
                <w:szCs w:val="20"/>
                <w:u w:val="single"/>
                <w:lang w:val="en-GB"/>
              </w:rPr>
              <w:t xml:space="preserve"> is provided</w:t>
            </w:r>
            <w:r w:rsidRPr="00974A34">
              <w:rPr>
                <w:rFonts w:ascii="Times New Roman" w:eastAsia="Times New Roman" w:hAnsi="Times New Roman" w:cs="Times New Roman"/>
                <w:szCs w:val="20"/>
                <w:lang w:val="en-GB"/>
              </w:rPr>
              <w:t xml:space="preserve">, where </w:t>
            </w:r>
          </w:p>
          <w:p w14:paraId="658FE295" w14:textId="77777777" w:rsidR="00F521B8" w:rsidRPr="00974A34" w:rsidRDefault="00F521B8" w:rsidP="00A468B4">
            <w:pPr>
              <w:spacing w:after="180" w:line="240" w:lineRule="auto"/>
              <w:ind w:left="1135" w:hanging="284"/>
              <w:rPr>
                <w:rFonts w:ascii="Times New Roman" w:eastAsia="Times New Roman" w:hAnsi="Times New Roman" w:cs="Times New Roman"/>
                <w:szCs w:val="20"/>
              </w:rPr>
            </w:pP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rPr>
              <w:tab/>
              <w:t xml:space="preserve">The </w:t>
            </w:r>
            <w:r w:rsidRPr="00974A34">
              <w:rPr>
                <w:rFonts w:ascii="Times New Roman" w:eastAsia="Times New Roman" w:hAnsi="Times New Roman" w:cs="Times New Roman"/>
                <w:noProof/>
                <w:position w:val="-12"/>
                <w:sz w:val="20"/>
                <w:szCs w:val="20"/>
                <w:lang w:val="en-GB"/>
              </w:rPr>
              <w:object w:dxaOrig="700" w:dyaOrig="320" w14:anchorId="0F32D191">
                <v:shape id="_x0000_i1035" type="#_x0000_t75" alt="" style="width:38.75pt;height:18.55pt;mso-width-percent:0;mso-height-percent:0;mso-width-percent:0;mso-height-percent:0" o:ole="">
                  <v:imagedata r:id="rId28" o:title=""/>
                </v:shape>
                <o:OLEObject Type="Embed" ProgID="Equation.3" ShapeID="_x0000_i1035" DrawAspect="Content" ObjectID="_1757500567" r:id="rId29"/>
              </w:object>
            </w:r>
            <w:r w:rsidRPr="00974A34">
              <w:rPr>
                <w:rFonts w:ascii="Times New Roman" w:eastAsia="Times New Roman" w:hAnsi="Times New Roman" w:cs="Times New Roman"/>
                <w:szCs w:val="20"/>
                <w:lang w:val="en-GB"/>
              </w:rPr>
              <w:t xml:space="preserve"> values are given in Table 7.1.1-1</w:t>
            </w:r>
          </w:p>
          <w:p w14:paraId="5BF46ACF" w14:textId="77777777" w:rsidR="00F521B8" w:rsidRPr="00974A34" w:rsidRDefault="00F521B8" w:rsidP="00A468B4">
            <w:pPr>
              <w:spacing w:after="180" w:line="240" w:lineRule="auto"/>
              <w:ind w:left="1135" w:hanging="284"/>
              <w:rPr>
                <w:rFonts w:ascii="Times New Roman" w:eastAsia="Times New Roman" w:hAnsi="Times New Roman" w:cs="Times New Roman"/>
                <w:szCs w:val="20"/>
              </w:rPr>
            </w:pP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rPr>
              <w:tab/>
            </w:r>
            <w:r w:rsidRPr="00974A34">
              <w:rPr>
                <w:rFonts w:ascii="Times New Roman" w:eastAsia="Times New Roman" w:hAnsi="Times New Roman" w:cs="Times New Roman"/>
                <w:noProof/>
                <w:position w:val="-14"/>
                <w:sz w:val="20"/>
                <w:szCs w:val="20"/>
                <w:lang w:val="en-GB"/>
              </w:rPr>
              <w:object w:dxaOrig="1160" w:dyaOrig="380" w14:anchorId="2B9E6724">
                <v:shape id="_x0000_i1036" type="#_x0000_t75" alt="" style="width:59.45pt;height:18.55pt;mso-width-percent:0;mso-height-percent:0;mso-width-percent:0;mso-height-percent:0" o:ole="">
                  <v:imagedata r:id="rId30" o:title=""/>
                </v:shape>
                <o:OLEObject Type="Embed" ProgID="Equation.DSMT4" ShapeID="_x0000_i1036" DrawAspect="Content" ObjectID="_1757500568" r:id="rId31"/>
              </w:object>
            </w:r>
            <w:r w:rsidRPr="00974A34">
              <w:rPr>
                <w:rFonts w:ascii="Times New Roman" w:eastAsia="Times New Roman" w:hAnsi="Times New Roman" w:cs="Times New Roman"/>
                <w:szCs w:val="20"/>
                <w:lang w:val="en-GB"/>
              </w:rPr>
              <w:t xml:space="preserve"> is jointly coded with other TPC commands in a PDCCH with DCI format 2_3</w:t>
            </w:r>
            <w:r w:rsidRPr="00974A34">
              <w:rPr>
                <w:rFonts w:ascii="Times New Roman" w:eastAsia="Times New Roman" w:hAnsi="Times New Roman" w:cs="Times New Roman"/>
                <w:szCs w:val="20"/>
              </w:rPr>
              <w:t>, as described in Clause 11.4</w:t>
            </w:r>
          </w:p>
        </w:tc>
      </w:tr>
    </w:tbl>
    <w:p w14:paraId="39B17DC0" w14:textId="77777777" w:rsidR="00F521B8" w:rsidRDefault="00F521B8" w:rsidP="00F521B8">
      <w:pPr>
        <w:rPr>
          <w:lang w:val="en-GB"/>
        </w:rPr>
      </w:pPr>
    </w:p>
    <w:p w14:paraId="693211BA" w14:textId="41E59BE0" w:rsidR="00F521B8" w:rsidRDefault="00F521B8" w:rsidP="00F521B8">
      <w:r>
        <w:t>While in our view text proposal 2.</w:t>
      </w:r>
      <w:r w:rsidR="00AF0577">
        <w:t>3</w:t>
      </w:r>
      <w:r>
        <w:t xml:space="preserve"> is needed given the inconsistent identification of optional parameters in 38.213 power control, there was not much support for it from other companies in RAN1#114.  However, if support for DCI 1_1 and 1_2 with SRS carrier switching is clearly given elsewhere in specifications, </w:t>
      </w:r>
      <w:proofErr w:type="gramStart"/>
      <w:r>
        <w:t>in particular in</w:t>
      </w:r>
      <w:proofErr w:type="gramEnd"/>
      <w:r>
        <w:t xml:space="preserve"> 38.214 section 6.2.1.3 as proposed above, there is less risk of assuming that DCI 2_3 based power control is required for SRS carrier switching. </w:t>
      </w:r>
    </w:p>
    <w:p w14:paraId="5F2A5798" w14:textId="0C403961" w:rsidR="001F5287" w:rsidRDefault="00AF0577" w:rsidP="001F5287">
      <w:pPr>
        <w:pStyle w:val="Proposal"/>
        <w:rPr>
          <w:lang w:val="en-GB"/>
        </w:rPr>
      </w:pPr>
      <w:bookmarkStart w:id="9" w:name="_Toc146620961"/>
      <w:r>
        <w:rPr>
          <w:lang w:val="en-GB"/>
        </w:rPr>
        <w:t xml:space="preserve">Revisit the need to correct 38.213 section 7.3.1 for the optional use of DCI 2_3 based power control if corrections to SRS configurations and which </w:t>
      </w:r>
      <w:proofErr w:type="spellStart"/>
      <w:r>
        <w:rPr>
          <w:lang w:val="en-GB"/>
        </w:rPr>
        <w:t>cells</w:t>
      </w:r>
      <w:proofErr w:type="spellEnd"/>
      <w:r>
        <w:rPr>
          <w:lang w:val="en-GB"/>
        </w:rPr>
        <w:t xml:space="preserve"> the SRS is transmitted on are not made</w:t>
      </w:r>
      <w:r w:rsidR="007B0737">
        <w:rPr>
          <w:lang w:val="en-GB"/>
        </w:rPr>
        <w:t xml:space="preserve"> in 38.214 section 6.2.1.3</w:t>
      </w:r>
      <w:r>
        <w:rPr>
          <w:lang w:val="en-GB"/>
        </w:rPr>
        <w:t>.</w:t>
      </w:r>
      <w:bookmarkEnd w:id="9"/>
    </w:p>
    <w:p w14:paraId="37EB5693" w14:textId="77777777" w:rsidR="00C01F33" w:rsidRPr="00CE0424" w:rsidRDefault="00C01F33" w:rsidP="00CE0424">
      <w:pPr>
        <w:pStyle w:val="Heading1"/>
      </w:pPr>
      <w:r w:rsidRPr="00CE0424">
        <w:t>Conclusion</w:t>
      </w:r>
    </w:p>
    <w:p w14:paraId="5A650F21" w14:textId="2856D14A" w:rsidR="008E065E" w:rsidRDefault="008B33A7" w:rsidP="008E065E">
      <w:pPr>
        <w:pStyle w:val="BodyText"/>
        <w:rPr>
          <w:b/>
          <w:bCs/>
        </w:rPr>
      </w:pPr>
      <w:r>
        <w:t>In this contribution, we have considered what is supported for aperiodic SRS carrier switching and what should be clarified in the RAN1 specifications.  W</w:t>
      </w:r>
      <w:r w:rsidR="008E065E" w:rsidRPr="00CE0424">
        <w:t xml:space="preserve">e </w:t>
      </w:r>
      <w:r w:rsidR="008E065E">
        <w:t>made the following observations</w:t>
      </w:r>
      <w:r w:rsidR="008E065E" w:rsidRPr="00CE0424">
        <w:t>:</w:t>
      </w:r>
      <w:r w:rsidR="00C93814">
        <w:rPr>
          <w:b/>
          <w:bCs/>
        </w:rPr>
        <w:t xml:space="preserve"> </w:t>
      </w:r>
    </w:p>
    <w:p w14:paraId="5D573612" w14:textId="68CA873F" w:rsidR="00FC4662"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146620954" w:history="1">
        <w:r w:rsidR="00FC4662" w:rsidRPr="00E46720">
          <w:rPr>
            <w:rStyle w:val="Hyperlink"/>
            <w:noProof/>
          </w:rPr>
          <w:t>Observation 1</w:t>
        </w:r>
        <w:r w:rsidR="00FC4662">
          <w:rPr>
            <w:rFonts w:asciiTheme="minorHAnsi" w:eastAsiaTheme="minorEastAsia" w:hAnsiTheme="minorHAnsi"/>
            <w:b w:val="0"/>
            <w:noProof/>
            <w:sz w:val="22"/>
            <w:lang w:eastAsia="en-US"/>
          </w:rPr>
          <w:tab/>
        </w:r>
        <w:r w:rsidR="00FC4662" w:rsidRPr="00E46720">
          <w:rPr>
            <w:rStyle w:val="Hyperlink"/>
            <w:noProof/>
          </w:rPr>
          <w:t>It is stated in 38.214 for DCI 2_3, but not for DCI 1_1 or 1_2, that the UE is configured with one or two SRS aperiodic resource set(s) whose usage is set to ‘antennaSwitching’.</w:t>
        </w:r>
      </w:hyperlink>
    </w:p>
    <w:p w14:paraId="75C23085" w14:textId="4756ED75" w:rsidR="00FC4662" w:rsidRDefault="00CE6DA0">
      <w:pPr>
        <w:pStyle w:val="TableofFigures"/>
        <w:tabs>
          <w:tab w:val="right" w:leader="dot" w:pos="9629"/>
        </w:tabs>
        <w:rPr>
          <w:rFonts w:asciiTheme="minorHAnsi" w:eastAsiaTheme="minorEastAsia" w:hAnsiTheme="minorHAnsi"/>
          <w:b w:val="0"/>
          <w:noProof/>
          <w:sz w:val="22"/>
          <w:lang w:eastAsia="en-US"/>
        </w:rPr>
      </w:pPr>
      <w:hyperlink w:anchor="_Toc146620955" w:history="1">
        <w:r w:rsidR="00FC4662" w:rsidRPr="00E46720">
          <w:rPr>
            <w:rStyle w:val="Hyperlink"/>
            <w:noProof/>
          </w:rPr>
          <w:t>Observation 2</w:t>
        </w:r>
        <w:r w:rsidR="00FC4662">
          <w:rPr>
            <w:rFonts w:asciiTheme="minorHAnsi" w:eastAsiaTheme="minorEastAsia" w:hAnsiTheme="minorHAnsi"/>
            <w:b w:val="0"/>
            <w:noProof/>
            <w:sz w:val="22"/>
            <w:lang w:eastAsia="en-US"/>
          </w:rPr>
          <w:tab/>
        </w:r>
        <w:r w:rsidR="00FC4662" w:rsidRPr="00E46720">
          <w:rPr>
            <w:rStyle w:val="Hyperlink"/>
            <w:noProof/>
          </w:rPr>
          <w:t>It is not explicitly stated in L1 specifications that the carrier switching SRS is transmitted on at most one serving cell scheduled by DCI 1_1 or 1_2.</w:t>
        </w:r>
      </w:hyperlink>
    </w:p>
    <w:p w14:paraId="35CC524E" w14:textId="7AFCCFBB" w:rsidR="00FC4662" w:rsidRDefault="00CE6DA0">
      <w:pPr>
        <w:pStyle w:val="TableofFigures"/>
        <w:tabs>
          <w:tab w:val="right" w:leader="dot" w:pos="9629"/>
        </w:tabs>
        <w:rPr>
          <w:rFonts w:asciiTheme="minorHAnsi" w:eastAsiaTheme="minorEastAsia" w:hAnsiTheme="minorHAnsi"/>
          <w:b w:val="0"/>
          <w:noProof/>
          <w:sz w:val="22"/>
          <w:lang w:eastAsia="en-US"/>
        </w:rPr>
      </w:pPr>
      <w:hyperlink w:anchor="_Toc146620956" w:history="1">
        <w:r w:rsidR="00FC4662" w:rsidRPr="00E46720">
          <w:rPr>
            <w:rStyle w:val="Hyperlink"/>
            <w:noProof/>
          </w:rPr>
          <w:t>Observation 3</w:t>
        </w:r>
        <w:r w:rsidR="00FC4662">
          <w:rPr>
            <w:rFonts w:asciiTheme="minorHAnsi" w:eastAsiaTheme="minorEastAsia" w:hAnsiTheme="minorHAnsi"/>
            <w:b w:val="0"/>
            <w:noProof/>
            <w:sz w:val="22"/>
            <w:lang w:eastAsia="en-US"/>
          </w:rPr>
          <w:tab/>
        </w:r>
        <w:r w:rsidR="00FC4662" w:rsidRPr="00E46720">
          <w:rPr>
            <w:rStyle w:val="Hyperlink"/>
            <w:noProof/>
          </w:rPr>
          <w:t>The constraint that a single cell scheduled by DCI is used for SRS carrier switching transmission and that one or two SRS resource set(s) with higher layer parameter usage set to ‘antennaSwitching’ and higher layer parameter resourceType in SRS-ResourceSet set to ‘aperiodic’ are needed do not seem suitable for defining by UE capability.</w:t>
        </w:r>
      </w:hyperlink>
    </w:p>
    <w:p w14:paraId="7A7E5B11" w14:textId="378D75AF" w:rsidR="00FC4662" w:rsidRDefault="00CE6DA0">
      <w:pPr>
        <w:pStyle w:val="TableofFigures"/>
        <w:tabs>
          <w:tab w:val="right" w:leader="dot" w:pos="9629"/>
        </w:tabs>
        <w:rPr>
          <w:rFonts w:asciiTheme="minorHAnsi" w:eastAsiaTheme="minorEastAsia" w:hAnsiTheme="minorHAnsi"/>
          <w:b w:val="0"/>
          <w:noProof/>
          <w:sz w:val="22"/>
          <w:lang w:eastAsia="en-US"/>
        </w:rPr>
      </w:pPr>
      <w:hyperlink w:anchor="_Toc146620957" w:history="1">
        <w:r w:rsidR="00FC4662" w:rsidRPr="00E46720">
          <w:rPr>
            <w:rStyle w:val="Hyperlink"/>
            <w:noProof/>
            <w:lang w:val="en-GB"/>
          </w:rPr>
          <w:t>Observation 4</w:t>
        </w:r>
        <w:r w:rsidR="00FC4662">
          <w:rPr>
            <w:rFonts w:asciiTheme="minorHAnsi" w:eastAsiaTheme="minorEastAsia" w:hAnsiTheme="minorHAnsi"/>
            <w:b w:val="0"/>
            <w:noProof/>
            <w:sz w:val="22"/>
            <w:lang w:eastAsia="en-US"/>
          </w:rPr>
          <w:tab/>
        </w:r>
        <w:r w:rsidR="00FC4662" w:rsidRPr="00E46720">
          <w:rPr>
            <w:rStyle w:val="Hyperlink"/>
            <w:noProof/>
            <w:lang w:val="en-GB"/>
          </w:rPr>
          <w:t xml:space="preserve">The specification of SRS carrier switching power control in 38.213 section 7.3.1 should be read as not requiring (the optional) DCI format 2_3, however this is inconsistent with the specification of other optional power control features for SRS carrier sitching such as </w:t>
        </w:r>
        <w:r w:rsidR="00FC4662" w:rsidRPr="00E46720">
          <w:rPr>
            <w:rStyle w:val="Hyperlink"/>
            <w:i/>
            <w:iCs/>
            <w:noProof/>
            <w:lang w:val="en-GB"/>
          </w:rPr>
          <w:t>srs-PowerControlAdjustmentStates</w:t>
        </w:r>
        <w:r w:rsidR="00FC4662" w:rsidRPr="00E46720">
          <w:rPr>
            <w:rStyle w:val="Hyperlink"/>
            <w:noProof/>
            <w:lang w:val="en-GB"/>
          </w:rPr>
          <w:t xml:space="preserve"> and </w:t>
        </w:r>
        <w:r w:rsidR="00FC4662" w:rsidRPr="00E46720">
          <w:rPr>
            <w:rStyle w:val="Hyperlink"/>
            <w:i/>
            <w:iCs/>
            <w:noProof/>
            <w:lang w:val="en-GB"/>
          </w:rPr>
          <w:t>tpc-Accumulation</w:t>
        </w:r>
        <w:r w:rsidR="00FC4662" w:rsidRPr="00E46720">
          <w:rPr>
            <w:rStyle w:val="Hyperlink"/>
            <w:noProof/>
            <w:lang w:val="en-GB"/>
          </w:rPr>
          <w:t>.</w:t>
        </w:r>
      </w:hyperlink>
    </w:p>
    <w:p w14:paraId="5F69EC0F" w14:textId="5C78881F" w:rsidR="006E1C82" w:rsidRDefault="006F6582" w:rsidP="008E065E">
      <w:pPr>
        <w:pStyle w:val="BodyText"/>
        <w:rPr>
          <w:b/>
          <w:bCs/>
        </w:rPr>
      </w:pPr>
      <w:r>
        <w:rPr>
          <w:b/>
          <w:bCs/>
        </w:rPr>
        <w:lastRenderedPageBreak/>
        <w:fldChar w:fldCharType="end"/>
      </w:r>
    </w:p>
    <w:p w14:paraId="6225A1B8" w14:textId="1DF153EA" w:rsidR="006E1C82" w:rsidRDefault="008B33A7" w:rsidP="006E1C82">
      <w:pPr>
        <w:pStyle w:val="BodyText"/>
      </w:pPr>
      <w:r>
        <w:t xml:space="preserve">Given </w:t>
      </w:r>
      <w:r w:rsidR="005A0B9B">
        <w:t xml:space="preserve">the discussion in section 2 and </w:t>
      </w:r>
      <w:r>
        <w:t>thes</w:t>
      </w:r>
      <w:r w:rsidR="008E065E" w:rsidRPr="00CE0424">
        <w:t xml:space="preserve">e </w:t>
      </w:r>
      <w:r>
        <w:t xml:space="preserve">observations, we </w:t>
      </w:r>
      <w:r w:rsidR="008E065E" w:rsidRPr="00CE0424">
        <w:t>propose the following</w:t>
      </w:r>
      <w:r w:rsidR="00AE1AF2">
        <w:t xml:space="preserve">, with </w:t>
      </w:r>
      <w:r w:rsidR="008224F8">
        <w:t xml:space="preserve">a </w:t>
      </w:r>
      <w:r w:rsidR="00AE1AF2">
        <w:t>related CR in</w:t>
      </w:r>
      <w:r w:rsidR="00A108ED">
        <w:t xml:space="preserve"> </w:t>
      </w:r>
      <w:r w:rsidR="00A108ED">
        <w:fldChar w:fldCharType="begin"/>
      </w:r>
      <w:r w:rsidR="00A108ED">
        <w:instrText xml:space="preserve"> REF _Ref146564714 \r \h </w:instrText>
      </w:r>
      <w:r w:rsidR="00A108ED">
        <w:fldChar w:fldCharType="separate"/>
      </w:r>
      <w:r w:rsidR="00FC4662">
        <w:t>[3]</w:t>
      </w:r>
      <w:r w:rsidR="00A108ED">
        <w:fldChar w:fldCharType="end"/>
      </w:r>
      <w:r w:rsidR="008E065E" w:rsidRPr="00CE0424">
        <w:t>:</w:t>
      </w:r>
    </w:p>
    <w:p w14:paraId="423379D5" w14:textId="1504A3CC" w:rsidR="00FC4662"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146620958" w:history="1">
        <w:r w:rsidR="00FC4662" w:rsidRPr="00E748E5">
          <w:rPr>
            <w:rStyle w:val="Hyperlink"/>
            <w:noProof/>
          </w:rPr>
          <w:t>Proposal 1</w:t>
        </w:r>
        <w:r w:rsidR="00FC4662">
          <w:rPr>
            <w:rFonts w:asciiTheme="minorHAnsi" w:eastAsiaTheme="minorEastAsia" w:hAnsiTheme="minorHAnsi"/>
            <w:b w:val="0"/>
            <w:noProof/>
            <w:sz w:val="22"/>
            <w:lang w:eastAsia="en-US"/>
          </w:rPr>
          <w:tab/>
        </w:r>
        <w:r w:rsidR="00FC4662" w:rsidRPr="00E748E5">
          <w:rPr>
            <w:rStyle w:val="Hyperlink"/>
            <w:noProof/>
          </w:rPr>
          <w:t xml:space="preserve">Determine if there is consensus to conclude that </w:t>
        </w:r>
        <w:r w:rsidR="00FC4662" w:rsidRPr="00E748E5">
          <w:rPr>
            <w:rStyle w:val="Hyperlink"/>
            <w:noProof/>
            <w:lang w:val="en-GB"/>
          </w:rPr>
          <w:t>Rel-17 UE capability is not needed for the support of DCI 1_1 and 1</w:t>
        </w:r>
        <w:r w:rsidR="00FC4662" w:rsidRPr="00E748E5">
          <w:rPr>
            <w:rStyle w:val="Hyperlink"/>
            <w:rFonts w:cs="Arial"/>
            <w:noProof/>
            <w:lang w:val="en-GB"/>
          </w:rPr>
          <w:t>_2 triggering for aperiodic SRS carrier switching.</w:t>
        </w:r>
      </w:hyperlink>
    </w:p>
    <w:p w14:paraId="4BD5C7A1" w14:textId="74517757" w:rsidR="00FC4662" w:rsidRDefault="00CE6DA0">
      <w:pPr>
        <w:pStyle w:val="TableofFigures"/>
        <w:tabs>
          <w:tab w:val="right" w:leader="dot" w:pos="9629"/>
        </w:tabs>
        <w:rPr>
          <w:rFonts w:asciiTheme="minorHAnsi" w:eastAsiaTheme="minorEastAsia" w:hAnsiTheme="minorHAnsi"/>
          <w:b w:val="0"/>
          <w:noProof/>
          <w:sz w:val="22"/>
          <w:lang w:eastAsia="en-US"/>
        </w:rPr>
      </w:pPr>
      <w:hyperlink w:anchor="_Toc146620959" w:history="1">
        <w:r w:rsidR="00FC4662" w:rsidRPr="00E748E5">
          <w:rPr>
            <w:rStyle w:val="Hyperlink"/>
            <w:noProof/>
          </w:rPr>
          <w:t>Proposal 2</w:t>
        </w:r>
        <w:r w:rsidR="00FC4662">
          <w:rPr>
            <w:rFonts w:asciiTheme="minorHAnsi" w:eastAsiaTheme="minorEastAsia" w:hAnsiTheme="minorHAnsi"/>
            <w:b w:val="0"/>
            <w:noProof/>
            <w:sz w:val="22"/>
            <w:lang w:eastAsia="en-US"/>
          </w:rPr>
          <w:tab/>
        </w:r>
        <w:r w:rsidR="00FC4662" w:rsidRPr="00E748E5">
          <w:rPr>
            <w:rStyle w:val="Hyperlink"/>
            <w:noProof/>
          </w:rPr>
          <w:t>Correct 38.214 section 6.2.1.3 by adding the following description of behavior for DCI format 1_1 or 1_2 triggered SRS carrier switching: “For an aperiodic SRS triggered in DCI format 1_1 or 1_2, the UE transmits SRS on one serving cell scheduled by the DCI and the UE in the serving cell transmits the configured one or two SRS resource set(s) with higher layer parameter usage set to ‘antennaSwitching’ and higher layer parameter resourceType in SRS-ResourceSet set to ‘aperiodic’.”</w:t>
        </w:r>
      </w:hyperlink>
    </w:p>
    <w:p w14:paraId="635850DD" w14:textId="126C8F16" w:rsidR="00FC4662" w:rsidRDefault="00CE6DA0">
      <w:pPr>
        <w:pStyle w:val="TableofFigures"/>
        <w:tabs>
          <w:tab w:val="right" w:leader="dot" w:pos="9629"/>
        </w:tabs>
        <w:rPr>
          <w:rFonts w:asciiTheme="minorHAnsi" w:eastAsiaTheme="minorEastAsia" w:hAnsiTheme="minorHAnsi"/>
          <w:b w:val="0"/>
          <w:noProof/>
          <w:sz w:val="22"/>
          <w:lang w:eastAsia="en-US"/>
        </w:rPr>
      </w:pPr>
      <w:hyperlink w:anchor="_Toc146620960" w:history="1">
        <w:r w:rsidR="00FC4662" w:rsidRPr="00E748E5">
          <w:rPr>
            <w:rStyle w:val="Hyperlink"/>
            <w:noProof/>
          </w:rPr>
          <w:t>Proposal 3</w:t>
        </w:r>
        <w:r w:rsidR="00FC4662">
          <w:rPr>
            <w:rFonts w:asciiTheme="minorHAnsi" w:eastAsiaTheme="minorEastAsia" w:hAnsiTheme="minorHAnsi"/>
            <w:b w:val="0"/>
            <w:noProof/>
            <w:sz w:val="22"/>
            <w:lang w:eastAsia="en-US"/>
          </w:rPr>
          <w:tab/>
        </w:r>
        <w:r w:rsidR="00FC4662" w:rsidRPr="00E748E5">
          <w:rPr>
            <w:rStyle w:val="Hyperlink"/>
            <w:noProof/>
          </w:rPr>
          <w:t>Discuss which release the correction for 38.214 section 6.2.1.3 should target and if the CR can be implemented in earlier releases than the CR without causing interoperability issues.</w:t>
        </w:r>
      </w:hyperlink>
    </w:p>
    <w:p w14:paraId="4E232545" w14:textId="21188EEB" w:rsidR="00FC4662" w:rsidRDefault="00CE6DA0">
      <w:pPr>
        <w:pStyle w:val="TableofFigures"/>
        <w:tabs>
          <w:tab w:val="right" w:leader="dot" w:pos="9629"/>
        </w:tabs>
        <w:rPr>
          <w:rFonts w:asciiTheme="minorHAnsi" w:eastAsiaTheme="minorEastAsia" w:hAnsiTheme="minorHAnsi"/>
          <w:b w:val="0"/>
          <w:noProof/>
          <w:sz w:val="22"/>
          <w:lang w:eastAsia="en-US"/>
        </w:rPr>
      </w:pPr>
      <w:hyperlink w:anchor="_Toc146620961" w:history="1">
        <w:r w:rsidR="00FC4662" w:rsidRPr="00E748E5">
          <w:rPr>
            <w:rStyle w:val="Hyperlink"/>
            <w:noProof/>
            <w:lang w:val="en-GB"/>
          </w:rPr>
          <w:t>Proposal 4</w:t>
        </w:r>
        <w:r w:rsidR="00FC4662">
          <w:rPr>
            <w:rFonts w:asciiTheme="minorHAnsi" w:eastAsiaTheme="minorEastAsia" w:hAnsiTheme="minorHAnsi"/>
            <w:b w:val="0"/>
            <w:noProof/>
            <w:sz w:val="22"/>
            <w:lang w:eastAsia="en-US"/>
          </w:rPr>
          <w:tab/>
        </w:r>
        <w:r w:rsidR="00FC4662" w:rsidRPr="00E748E5">
          <w:rPr>
            <w:rStyle w:val="Hyperlink"/>
            <w:noProof/>
            <w:lang w:val="en-GB"/>
          </w:rPr>
          <w:t>Revisit the need to correct 38.213 section 7.3.1 for the optional use of DCI 2_3 based power control if corrections to SRS configurations and which cells the SRS is transmitted on are not made in 38.214 section 6.2.1.3.</w:t>
        </w:r>
      </w:hyperlink>
    </w:p>
    <w:p w14:paraId="6584278B" w14:textId="3559B2FD" w:rsidR="008E065E" w:rsidRPr="00CE0424" w:rsidRDefault="006E1C82" w:rsidP="0062233D">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10" w:name="_In-sequence_SDU_delivery"/>
      <w:bookmarkEnd w:id="10"/>
      <w:r w:rsidRPr="00CE0424">
        <w:t>References</w:t>
      </w:r>
    </w:p>
    <w:p w14:paraId="6E059DB2" w14:textId="70124F96" w:rsidR="00B83F51" w:rsidRDefault="00B83F51" w:rsidP="00B83F51">
      <w:pPr>
        <w:pStyle w:val="Reference"/>
      </w:pPr>
      <w:bookmarkStart w:id="11" w:name="_Ref142664398"/>
      <w:bookmarkStart w:id="12" w:name="_Ref174151459"/>
      <w:bookmarkStart w:id="13" w:name="_Ref189809556"/>
      <w:r w:rsidRPr="00B83F51">
        <w:t>Ericsson</w:t>
      </w:r>
      <w:r w:rsidR="008F699A">
        <w:t>, T-Mobile USA</w:t>
      </w:r>
      <w:r w:rsidRPr="00B83F51">
        <w:t>, “</w:t>
      </w:r>
      <w:r w:rsidR="008F699A">
        <w:t>R1-</w:t>
      </w:r>
      <w:r w:rsidR="00A850BB" w:rsidRPr="00A850BB">
        <w:t>2308180</w:t>
      </w:r>
      <w:r w:rsidRPr="00B83F51">
        <w:t xml:space="preserve">, </w:t>
      </w:r>
      <w:r w:rsidR="00A850BB" w:rsidRPr="00A850BB">
        <w:t>Aperiodic triggering support for SRS carrier switching</w:t>
      </w:r>
      <w:r w:rsidRPr="00B83F51">
        <w:t>”, 3GPP TSG RAN</w:t>
      </w:r>
      <w:r>
        <w:t>1</w:t>
      </w:r>
      <w:r w:rsidRPr="00B83F51">
        <w:t>#1</w:t>
      </w:r>
      <w:r>
        <w:t>14</w:t>
      </w:r>
      <w:r w:rsidRPr="00B83F51">
        <w:t xml:space="preserve">, Toulouse, France, 21 - 25 </w:t>
      </w:r>
      <w:proofErr w:type="gramStart"/>
      <w:r w:rsidRPr="00B83F51">
        <w:t>August,</w:t>
      </w:r>
      <w:proofErr w:type="gramEnd"/>
      <w:r w:rsidRPr="00B83F51">
        <w:t xml:space="preserve"> 2023.</w:t>
      </w:r>
      <w:bookmarkEnd w:id="11"/>
    </w:p>
    <w:p w14:paraId="71EFF93D" w14:textId="611BEDD2" w:rsidR="00A850BB" w:rsidRPr="00B83F51" w:rsidRDefault="00A850BB" w:rsidP="00B83F51">
      <w:pPr>
        <w:pStyle w:val="Reference"/>
      </w:pPr>
      <w:bookmarkStart w:id="14" w:name="_Ref146564676"/>
      <w:r w:rsidRPr="00B83F51">
        <w:t>Ericsson, “</w:t>
      </w:r>
      <w:r w:rsidR="008F699A">
        <w:t>R1-</w:t>
      </w:r>
      <w:r w:rsidRPr="00A850BB">
        <w:t>2308606</w:t>
      </w:r>
      <w:r w:rsidRPr="00B83F51">
        <w:t xml:space="preserve">, </w:t>
      </w:r>
      <w:r w:rsidRPr="00A850BB">
        <w:t>Revised summary of NR Rel-15/16 maintenance discussion for aperiodic triggering support for SRS carrier switching</w:t>
      </w:r>
      <w:r w:rsidRPr="00B83F51">
        <w:t>”, 3GPP TSG RAN</w:t>
      </w:r>
      <w:r>
        <w:t>1</w:t>
      </w:r>
      <w:r w:rsidRPr="00B83F51">
        <w:t>#1</w:t>
      </w:r>
      <w:r>
        <w:t>14</w:t>
      </w:r>
      <w:r w:rsidRPr="00B83F51">
        <w:t xml:space="preserve">, Toulouse, France, 21 - 25 </w:t>
      </w:r>
      <w:proofErr w:type="gramStart"/>
      <w:r w:rsidRPr="00B83F51">
        <w:t>August,</w:t>
      </w:r>
      <w:proofErr w:type="gramEnd"/>
      <w:r w:rsidRPr="00B83F51">
        <w:t xml:space="preserve"> 2023.</w:t>
      </w:r>
      <w:bookmarkEnd w:id="14"/>
    </w:p>
    <w:p w14:paraId="715CA09B" w14:textId="5F435AA9" w:rsidR="003A7EF3" w:rsidRDefault="00B83F51" w:rsidP="001266C9">
      <w:pPr>
        <w:pStyle w:val="Reference"/>
      </w:pPr>
      <w:bookmarkStart w:id="15" w:name="_Ref146564714"/>
      <w:r w:rsidRPr="00B83F51">
        <w:t>Ericsson, “</w:t>
      </w:r>
      <w:r w:rsidR="00D669F3">
        <w:t>R1-</w:t>
      </w:r>
      <w:r w:rsidR="00D669F3" w:rsidRPr="00D669F3">
        <w:t>2310245</w:t>
      </w:r>
      <w:r w:rsidRPr="00B83F51">
        <w:t xml:space="preserve">, </w:t>
      </w:r>
      <w:r w:rsidR="00A850BB" w:rsidRPr="00A850BB">
        <w:t>Correction for SRS carrier switching for DCI formats 1_1 and 1_2</w:t>
      </w:r>
      <w:r w:rsidRPr="00B83F51">
        <w:t>”, 3GPP TSG RAN</w:t>
      </w:r>
      <w:r>
        <w:t>1</w:t>
      </w:r>
      <w:r w:rsidRPr="00B83F51">
        <w:t>#1</w:t>
      </w:r>
      <w:r>
        <w:t>14</w:t>
      </w:r>
      <w:r w:rsidR="00A850BB">
        <w:t>bis</w:t>
      </w:r>
      <w:r w:rsidRPr="00B83F51">
        <w:t xml:space="preserve">, </w:t>
      </w:r>
      <w:r w:rsidR="00A850BB" w:rsidRPr="00A850BB">
        <w:t>Xiamen, China, October 9</w:t>
      </w:r>
      <w:r w:rsidR="00A850BB">
        <w:t xml:space="preserve"> - 13</w:t>
      </w:r>
      <w:r w:rsidR="00A850BB" w:rsidRPr="00A850BB">
        <w:t>, 2023</w:t>
      </w:r>
      <w:r w:rsidRPr="00B83F51">
        <w:t>.</w:t>
      </w:r>
      <w:bookmarkEnd w:id="12"/>
      <w:bookmarkEnd w:id="13"/>
      <w:bookmarkEnd w:id="15"/>
    </w:p>
    <w:p w14:paraId="3A77A44E" w14:textId="692F975A" w:rsidR="00A850BB" w:rsidRPr="00CE0424" w:rsidRDefault="00A850BB" w:rsidP="00675E9D">
      <w:pPr>
        <w:pStyle w:val="Reference"/>
        <w:numPr>
          <w:ilvl w:val="0"/>
          <w:numId w:val="0"/>
        </w:numPr>
      </w:pPr>
    </w:p>
    <w:sectPr w:rsidR="00A850BB" w:rsidRPr="00CE0424"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FB152" w14:textId="77777777" w:rsidR="004B32F9" w:rsidRDefault="004B32F9">
      <w:r>
        <w:separator/>
      </w:r>
    </w:p>
  </w:endnote>
  <w:endnote w:type="continuationSeparator" w:id="0">
    <w:p w14:paraId="56B1FD60" w14:textId="77777777" w:rsidR="004B32F9" w:rsidRDefault="004B32F9">
      <w:r>
        <w:continuationSeparator/>
      </w:r>
    </w:p>
  </w:endnote>
  <w:endnote w:type="continuationNotice" w:id="1">
    <w:p w14:paraId="3B91CE3F" w14:textId="77777777" w:rsidR="004B32F9" w:rsidRDefault="004B32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8AD9B" w14:textId="77777777" w:rsidR="004B32F9" w:rsidRDefault="004B32F9">
      <w:r>
        <w:separator/>
      </w:r>
    </w:p>
  </w:footnote>
  <w:footnote w:type="continuationSeparator" w:id="0">
    <w:p w14:paraId="42AF9FA3" w14:textId="77777777" w:rsidR="004B32F9" w:rsidRDefault="004B32F9">
      <w:r>
        <w:continuationSeparator/>
      </w:r>
    </w:p>
  </w:footnote>
  <w:footnote w:type="continuationNotice" w:id="1">
    <w:p w14:paraId="259B6A90" w14:textId="77777777" w:rsidR="004B32F9" w:rsidRDefault="004B32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CCD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7499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88187545">
    <w:abstractNumId w:val="3"/>
  </w:num>
  <w:num w:numId="2" w16cid:durableId="1609775619">
    <w:abstractNumId w:val="16"/>
  </w:num>
  <w:num w:numId="3" w16cid:durableId="833373595">
    <w:abstractNumId w:val="11"/>
  </w:num>
  <w:num w:numId="4" w16cid:durableId="2136631286">
    <w:abstractNumId w:val="12"/>
  </w:num>
  <w:num w:numId="5" w16cid:durableId="1923372078">
    <w:abstractNumId w:val="8"/>
  </w:num>
  <w:num w:numId="6" w16cid:durableId="1835074303">
    <w:abstractNumId w:val="15"/>
  </w:num>
  <w:num w:numId="7" w16cid:durableId="1395934195">
    <w:abstractNumId w:val="19"/>
  </w:num>
  <w:num w:numId="8" w16cid:durableId="1467620983">
    <w:abstractNumId w:val="9"/>
  </w:num>
  <w:num w:numId="9" w16cid:durableId="1421946636">
    <w:abstractNumId w:val="7"/>
  </w:num>
  <w:num w:numId="10" w16cid:durableId="639920608">
    <w:abstractNumId w:val="2"/>
  </w:num>
  <w:num w:numId="11" w16cid:durableId="811676846">
    <w:abstractNumId w:val="1"/>
  </w:num>
  <w:num w:numId="12" w16cid:durableId="447622583">
    <w:abstractNumId w:val="0"/>
  </w:num>
  <w:num w:numId="13" w16cid:durableId="1459760247">
    <w:abstractNumId w:val="17"/>
  </w:num>
  <w:num w:numId="14" w16cid:durableId="1270309174">
    <w:abstractNumId w:val="18"/>
  </w:num>
  <w:num w:numId="15" w16cid:durableId="1759251207">
    <w:abstractNumId w:val="13"/>
  </w:num>
  <w:num w:numId="16" w16cid:durableId="1315530660">
    <w:abstractNumId w:val="20"/>
  </w:num>
  <w:num w:numId="17" w16cid:durableId="82536163">
    <w:abstractNumId w:val="5"/>
  </w:num>
  <w:num w:numId="18" w16cid:durableId="1225288575">
    <w:abstractNumId w:val="6"/>
  </w:num>
  <w:num w:numId="19" w16cid:durableId="718633400">
    <w:abstractNumId w:val="4"/>
  </w:num>
  <w:num w:numId="20" w16cid:durableId="1965890076">
    <w:abstractNumId w:val="22"/>
  </w:num>
  <w:num w:numId="21" w16cid:durableId="639304901">
    <w:abstractNumId w:val="10"/>
  </w:num>
  <w:num w:numId="22" w16cid:durableId="674188809">
    <w:abstractNumId w:val="21"/>
  </w:num>
  <w:num w:numId="23" w16cid:durableId="165540494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C67"/>
    <w:rsid w:val="00025ECA"/>
    <w:rsid w:val="000325B8"/>
    <w:rsid w:val="00034C15"/>
    <w:rsid w:val="00036BA1"/>
    <w:rsid w:val="0003771D"/>
    <w:rsid w:val="000409EB"/>
    <w:rsid w:val="000422E2"/>
    <w:rsid w:val="00042F22"/>
    <w:rsid w:val="000444EF"/>
    <w:rsid w:val="00046CE0"/>
    <w:rsid w:val="00052A07"/>
    <w:rsid w:val="000534E3"/>
    <w:rsid w:val="000539E3"/>
    <w:rsid w:val="000549DA"/>
    <w:rsid w:val="0005606A"/>
    <w:rsid w:val="00057117"/>
    <w:rsid w:val="000616E7"/>
    <w:rsid w:val="0006487E"/>
    <w:rsid w:val="0006550C"/>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BF0"/>
    <w:rsid w:val="000B2719"/>
    <w:rsid w:val="000B3A8F"/>
    <w:rsid w:val="000B4AB9"/>
    <w:rsid w:val="000B58C3"/>
    <w:rsid w:val="000B61E9"/>
    <w:rsid w:val="000C165A"/>
    <w:rsid w:val="000C2E19"/>
    <w:rsid w:val="000D0D07"/>
    <w:rsid w:val="000D0E4E"/>
    <w:rsid w:val="000D4797"/>
    <w:rsid w:val="000E0527"/>
    <w:rsid w:val="000E1E92"/>
    <w:rsid w:val="000F06D6"/>
    <w:rsid w:val="000F0EB1"/>
    <w:rsid w:val="000F1106"/>
    <w:rsid w:val="000F3BE9"/>
    <w:rsid w:val="000F3F6C"/>
    <w:rsid w:val="000F6DF3"/>
    <w:rsid w:val="000F72B8"/>
    <w:rsid w:val="001005FF"/>
    <w:rsid w:val="001050D2"/>
    <w:rsid w:val="001062FB"/>
    <w:rsid w:val="001063E6"/>
    <w:rsid w:val="00113CF4"/>
    <w:rsid w:val="0011458F"/>
    <w:rsid w:val="001153EA"/>
    <w:rsid w:val="00115643"/>
    <w:rsid w:val="00116765"/>
    <w:rsid w:val="001219F5"/>
    <w:rsid w:val="00121A20"/>
    <w:rsid w:val="0012377F"/>
    <w:rsid w:val="00124314"/>
    <w:rsid w:val="001266C9"/>
    <w:rsid w:val="00126B4A"/>
    <w:rsid w:val="00131694"/>
    <w:rsid w:val="00131EFF"/>
    <w:rsid w:val="00132FD0"/>
    <w:rsid w:val="0013410F"/>
    <w:rsid w:val="001344C0"/>
    <w:rsid w:val="001346FA"/>
    <w:rsid w:val="0013477C"/>
    <w:rsid w:val="00135252"/>
    <w:rsid w:val="001377CD"/>
    <w:rsid w:val="00137AB5"/>
    <w:rsid w:val="00137F0B"/>
    <w:rsid w:val="00147B33"/>
    <w:rsid w:val="00151E23"/>
    <w:rsid w:val="001526E0"/>
    <w:rsid w:val="001551B5"/>
    <w:rsid w:val="00156561"/>
    <w:rsid w:val="001659C1"/>
    <w:rsid w:val="00173A8E"/>
    <w:rsid w:val="0017502C"/>
    <w:rsid w:val="0018143F"/>
    <w:rsid w:val="00181FF8"/>
    <w:rsid w:val="00185CA8"/>
    <w:rsid w:val="00187944"/>
    <w:rsid w:val="00190AC1"/>
    <w:rsid w:val="0019341A"/>
    <w:rsid w:val="00194299"/>
    <w:rsid w:val="00197DF9"/>
    <w:rsid w:val="001A1987"/>
    <w:rsid w:val="001A2564"/>
    <w:rsid w:val="001A6173"/>
    <w:rsid w:val="001A6CBA"/>
    <w:rsid w:val="001B0D97"/>
    <w:rsid w:val="001B5A5D"/>
    <w:rsid w:val="001C1CE5"/>
    <w:rsid w:val="001C3D2A"/>
    <w:rsid w:val="001D3C07"/>
    <w:rsid w:val="001D3FE8"/>
    <w:rsid w:val="001D51BA"/>
    <w:rsid w:val="001D53E7"/>
    <w:rsid w:val="001D6342"/>
    <w:rsid w:val="001D6B0D"/>
    <w:rsid w:val="001D6D53"/>
    <w:rsid w:val="001E39E1"/>
    <w:rsid w:val="001E58E2"/>
    <w:rsid w:val="001E6FA6"/>
    <w:rsid w:val="001E7AED"/>
    <w:rsid w:val="001F3916"/>
    <w:rsid w:val="001F5287"/>
    <w:rsid w:val="001F54C5"/>
    <w:rsid w:val="001F662C"/>
    <w:rsid w:val="001F7074"/>
    <w:rsid w:val="00200490"/>
    <w:rsid w:val="00201F3A"/>
    <w:rsid w:val="00203818"/>
    <w:rsid w:val="00203F96"/>
    <w:rsid w:val="002069B2"/>
    <w:rsid w:val="00207FA3"/>
    <w:rsid w:val="00214DA8"/>
    <w:rsid w:val="00215423"/>
    <w:rsid w:val="002158FA"/>
    <w:rsid w:val="00215912"/>
    <w:rsid w:val="00220600"/>
    <w:rsid w:val="002224DB"/>
    <w:rsid w:val="00223FCB"/>
    <w:rsid w:val="002242B2"/>
    <w:rsid w:val="002252C3"/>
    <w:rsid w:val="0022577C"/>
    <w:rsid w:val="00225C54"/>
    <w:rsid w:val="00230765"/>
    <w:rsid w:val="00230D18"/>
    <w:rsid w:val="002319E4"/>
    <w:rsid w:val="00235632"/>
    <w:rsid w:val="00235872"/>
    <w:rsid w:val="00241559"/>
    <w:rsid w:val="002435B3"/>
    <w:rsid w:val="002458EB"/>
    <w:rsid w:val="002500C8"/>
    <w:rsid w:val="00257494"/>
    <w:rsid w:val="00257543"/>
    <w:rsid w:val="002617E7"/>
    <w:rsid w:val="00264228"/>
    <w:rsid w:val="00264334"/>
    <w:rsid w:val="0026473E"/>
    <w:rsid w:val="00266214"/>
    <w:rsid w:val="00267C83"/>
    <w:rsid w:val="00267CB1"/>
    <w:rsid w:val="0027144F"/>
    <w:rsid w:val="00271813"/>
    <w:rsid w:val="00271F3A"/>
    <w:rsid w:val="00273278"/>
    <w:rsid w:val="002737F4"/>
    <w:rsid w:val="002751FE"/>
    <w:rsid w:val="002805F5"/>
    <w:rsid w:val="00280751"/>
    <w:rsid w:val="0028280A"/>
    <w:rsid w:val="00285302"/>
    <w:rsid w:val="00286ACD"/>
    <w:rsid w:val="00287838"/>
    <w:rsid w:val="002907B5"/>
    <w:rsid w:val="00292EB7"/>
    <w:rsid w:val="00296227"/>
    <w:rsid w:val="00296F44"/>
    <w:rsid w:val="0029777D"/>
    <w:rsid w:val="002A055E"/>
    <w:rsid w:val="002A1D4E"/>
    <w:rsid w:val="002A2869"/>
    <w:rsid w:val="002A578E"/>
    <w:rsid w:val="002A7622"/>
    <w:rsid w:val="002B24D6"/>
    <w:rsid w:val="002B470B"/>
    <w:rsid w:val="002C16CC"/>
    <w:rsid w:val="002C41E6"/>
    <w:rsid w:val="002D071A"/>
    <w:rsid w:val="002D34B2"/>
    <w:rsid w:val="002D48B0"/>
    <w:rsid w:val="002D5B37"/>
    <w:rsid w:val="002D7637"/>
    <w:rsid w:val="002E17F2"/>
    <w:rsid w:val="002E5057"/>
    <w:rsid w:val="002E7CAE"/>
    <w:rsid w:val="002F13E4"/>
    <w:rsid w:val="002F1CCD"/>
    <w:rsid w:val="002F2771"/>
    <w:rsid w:val="002F37A9"/>
    <w:rsid w:val="00301CE6"/>
    <w:rsid w:val="0030256B"/>
    <w:rsid w:val="0030501F"/>
    <w:rsid w:val="00306E6F"/>
    <w:rsid w:val="00307BA1"/>
    <w:rsid w:val="00311702"/>
    <w:rsid w:val="00311E82"/>
    <w:rsid w:val="00313FD6"/>
    <w:rsid w:val="003143BD"/>
    <w:rsid w:val="00315363"/>
    <w:rsid w:val="00317571"/>
    <w:rsid w:val="00317753"/>
    <w:rsid w:val="003203ED"/>
    <w:rsid w:val="00322C9F"/>
    <w:rsid w:val="00324D23"/>
    <w:rsid w:val="00330611"/>
    <w:rsid w:val="00331751"/>
    <w:rsid w:val="00334579"/>
    <w:rsid w:val="00335858"/>
    <w:rsid w:val="00336BDA"/>
    <w:rsid w:val="00342BD7"/>
    <w:rsid w:val="00346DB5"/>
    <w:rsid w:val="003477B1"/>
    <w:rsid w:val="00351F32"/>
    <w:rsid w:val="00357380"/>
    <w:rsid w:val="003602D9"/>
    <w:rsid w:val="003604CE"/>
    <w:rsid w:val="00361CF8"/>
    <w:rsid w:val="0036601E"/>
    <w:rsid w:val="00370A5A"/>
    <w:rsid w:val="00370E47"/>
    <w:rsid w:val="003742AC"/>
    <w:rsid w:val="00377CE1"/>
    <w:rsid w:val="00385BF0"/>
    <w:rsid w:val="00392DB6"/>
    <w:rsid w:val="003939FF"/>
    <w:rsid w:val="003A20E1"/>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5F9"/>
    <w:rsid w:val="003C7806"/>
    <w:rsid w:val="003D0664"/>
    <w:rsid w:val="003D109F"/>
    <w:rsid w:val="003D2478"/>
    <w:rsid w:val="003D3C45"/>
    <w:rsid w:val="003D470B"/>
    <w:rsid w:val="003D50F0"/>
    <w:rsid w:val="003D5B1F"/>
    <w:rsid w:val="003D5EC9"/>
    <w:rsid w:val="003E15FA"/>
    <w:rsid w:val="003E4B40"/>
    <w:rsid w:val="003E55E4"/>
    <w:rsid w:val="003E74E3"/>
    <w:rsid w:val="003F05C7"/>
    <w:rsid w:val="003F2CD4"/>
    <w:rsid w:val="003F6BBE"/>
    <w:rsid w:val="003F6BE1"/>
    <w:rsid w:val="004000E8"/>
    <w:rsid w:val="00401520"/>
    <w:rsid w:val="004016C2"/>
    <w:rsid w:val="00402E2B"/>
    <w:rsid w:val="0040512B"/>
    <w:rsid w:val="00405CA5"/>
    <w:rsid w:val="00407CD3"/>
    <w:rsid w:val="00410134"/>
    <w:rsid w:val="00410B72"/>
    <w:rsid w:val="00410F18"/>
    <w:rsid w:val="0041263E"/>
    <w:rsid w:val="004139CD"/>
    <w:rsid w:val="00413AAC"/>
    <w:rsid w:val="00413E92"/>
    <w:rsid w:val="00416738"/>
    <w:rsid w:val="00421105"/>
    <w:rsid w:val="00422AA4"/>
    <w:rsid w:val="004242F4"/>
    <w:rsid w:val="004269DF"/>
    <w:rsid w:val="00427248"/>
    <w:rsid w:val="00437447"/>
    <w:rsid w:val="00441A92"/>
    <w:rsid w:val="004431DC"/>
    <w:rsid w:val="00444F56"/>
    <w:rsid w:val="00446488"/>
    <w:rsid w:val="004517AA"/>
    <w:rsid w:val="00452CAC"/>
    <w:rsid w:val="00457565"/>
    <w:rsid w:val="00457B71"/>
    <w:rsid w:val="00464689"/>
    <w:rsid w:val="004669E2"/>
    <w:rsid w:val="00466C38"/>
    <w:rsid w:val="0047030B"/>
    <w:rsid w:val="00470C31"/>
    <w:rsid w:val="0047116E"/>
    <w:rsid w:val="00471DE0"/>
    <w:rsid w:val="004734D0"/>
    <w:rsid w:val="00474A17"/>
    <w:rsid w:val="0047556B"/>
    <w:rsid w:val="004759F0"/>
    <w:rsid w:val="00477768"/>
    <w:rsid w:val="00483591"/>
    <w:rsid w:val="00492BC5"/>
    <w:rsid w:val="004964F1"/>
    <w:rsid w:val="004A16BC"/>
    <w:rsid w:val="004A2B94"/>
    <w:rsid w:val="004B32F9"/>
    <w:rsid w:val="004B6F6A"/>
    <w:rsid w:val="004B7C0C"/>
    <w:rsid w:val="004C2790"/>
    <w:rsid w:val="004C3898"/>
    <w:rsid w:val="004D1F04"/>
    <w:rsid w:val="004D36B1"/>
    <w:rsid w:val="004D4CBE"/>
    <w:rsid w:val="004D7EBD"/>
    <w:rsid w:val="004E2680"/>
    <w:rsid w:val="004E28F9"/>
    <w:rsid w:val="004E462E"/>
    <w:rsid w:val="004E56DC"/>
    <w:rsid w:val="004E76F4"/>
    <w:rsid w:val="004F0B4E"/>
    <w:rsid w:val="004F0B6C"/>
    <w:rsid w:val="004F2078"/>
    <w:rsid w:val="004F4DA3"/>
    <w:rsid w:val="0050019F"/>
    <w:rsid w:val="0050516A"/>
    <w:rsid w:val="00506557"/>
    <w:rsid w:val="0050677A"/>
    <w:rsid w:val="005074D7"/>
    <w:rsid w:val="005108D8"/>
    <w:rsid w:val="005116F9"/>
    <w:rsid w:val="005153A7"/>
    <w:rsid w:val="005219CF"/>
    <w:rsid w:val="00525F09"/>
    <w:rsid w:val="005317C1"/>
    <w:rsid w:val="00534B59"/>
    <w:rsid w:val="00536759"/>
    <w:rsid w:val="00537C62"/>
    <w:rsid w:val="00542F6F"/>
    <w:rsid w:val="00546970"/>
    <w:rsid w:val="005478D1"/>
    <w:rsid w:val="00554E19"/>
    <w:rsid w:val="0056121F"/>
    <w:rsid w:val="00572505"/>
    <w:rsid w:val="00576B54"/>
    <w:rsid w:val="0057722D"/>
    <w:rsid w:val="00582809"/>
    <w:rsid w:val="0058798C"/>
    <w:rsid w:val="005900FA"/>
    <w:rsid w:val="005935A4"/>
    <w:rsid w:val="005948C2"/>
    <w:rsid w:val="00595DCA"/>
    <w:rsid w:val="0059779B"/>
    <w:rsid w:val="005A0B9B"/>
    <w:rsid w:val="005A209A"/>
    <w:rsid w:val="005A360C"/>
    <w:rsid w:val="005A3CEF"/>
    <w:rsid w:val="005A662D"/>
    <w:rsid w:val="005B1409"/>
    <w:rsid w:val="005B35D7"/>
    <w:rsid w:val="005B392A"/>
    <w:rsid w:val="005B3AA3"/>
    <w:rsid w:val="005B6F83"/>
    <w:rsid w:val="005C74FB"/>
    <w:rsid w:val="005D1602"/>
    <w:rsid w:val="005E385F"/>
    <w:rsid w:val="005E5B81"/>
    <w:rsid w:val="005F01C5"/>
    <w:rsid w:val="005F2CB1"/>
    <w:rsid w:val="005F3025"/>
    <w:rsid w:val="005F618C"/>
    <w:rsid w:val="005F70BD"/>
    <w:rsid w:val="0060283C"/>
    <w:rsid w:val="00604F14"/>
    <w:rsid w:val="00611B83"/>
    <w:rsid w:val="00613257"/>
    <w:rsid w:val="00613CC2"/>
    <w:rsid w:val="00620A71"/>
    <w:rsid w:val="00620D80"/>
    <w:rsid w:val="0062233D"/>
    <w:rsid w:val="006234A6"/>
    <w:rsid w:val="00623BBA"/>
    <w:rsid w:val="0062448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7FB"/>
    <w:rsid w:val="006634E6"/>
    <w:rsid w:val="006655EE"/>
    <w:rsid w:val="00667EE7"/>
    <w:rsid w:val="00670922"/>
    <w:rsid w:val="00670BE1"/>
    <w:rsid w:val="0067218F"/>
    <w:rsid w:val="006741F2"/>
    <w:rsid w:val="00674CC3"/>
    <w:rsid w:val="00675C72"/>
    <w:rsid w:val="00675E9D"/>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16D"/>
    <w:rsid w:val="006B3C8D"/>
    <w:rsid w:val="006B50CF"/>
    <w:rsid w:val="006C03B8"/>
    <w:rsid w:val="006C5EC9"/>
    <w:rsid w:val="006C6059"/>
    <w:rsid w:val="006C7522"/>
    <w:rsid w:val="006D2884"/>
    <w:rsid w:val="006D6F08"/>
    <w:rsid w:val="006E062C"/>
    <w:rsid w:val="006E1C82"/>
    <w:rsid w:val="006E1F0E"/>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1DED"/>
    <w:rsid w:val="007245FD"/>
    <w:rsid w:val="007257D0"/>
    <w:rsid w:val="00726EA6"/>
    <w:rsid w:val="00727208"/>
    <w:rsid w:val="00727680"/>
    <w:rsid w:val="007348B1"/>
    <w:rsid w:val="00734DCC"/>
    <w:rsid w:val="007362A6"/>
    <w:rsid w:val="00736D7D"/>
    <w:rsid w:val="00740E58"/>
    <w:rsid w:val="007445A0"/>
    <w:rsid w:val="0074524B"/>
    <w:rsid w:val="00747D8B"/>
    <w:rsid w:val="00751228"/>
    <w:rsid w:val="007571E1"/>
    <w:rsid w:val="007604B2"/>
    <w:rsid w:val="00763726"/>
    <w:rsid w:val="00765281"/>
    <w:rsid w:val="00766BAD"/>
    <w:rsid w:val="007729A2"/>
    <w:rsid w:val="00773776"/>
    <w:rsid w:val="007747B3"/>
    <w:rsid w:val="007755F2"/>
    <w:rsid w:val="00776971"/>
    <w:rsid w:val="00780A80"/>
    <w:rsid w:val="0078177E"/>
    <w:rsid w:val="0078304C"/>
    <w:rsid w:val="00783673"/>
    <w:rsid w:val="00785490"/>
    <w:rsid w:val="007925EA"/>
    <w:rsid w:val="00793CD8"/>
    <w:rsid w:val="00794552"/>
    <w:rsid w:val="00795160"/>
    <w:rsid w:val="00795C92"/>
    <w:rsid w:val="00796231"/>
    <w:rsid w:val="00797173"/>
    <w:rsid w:val="007A1CB3"/>
    <w:rsid w:val="007A306F"/>
    <w:rsid w:val="007A43A6"/>
    <w:rsid w:val="007A44B6"/>
    <w:rsid w:val="007A58A6"/>
    <w:rsid w:val="007B0737"/>
    <w:rsid w:val="007B23C8"/>
    <w:rsid w:val="007B3D2D"/>
    <w:rsid w:val="007B50AE"/>
    <w:rsid w:val="007B51DF"/>
    <w:rsid w:val="007C05DD"/>
    <w:rsid w:val="007C3D18"/>
    <w:rsid w:val="007C60BF"/>
    <w:rsid w:val="007C6A07"/>
    <w:rsid w:val="007C75A1"/>
    <w:rsid w:val="007C77A5"/>
    <w:rsid w:val="007D04E5"/>
    <w:rsid w:val="007D5901"/>
    <w:rsid w:val="007D7526"/>
    <w:rsid w:val="007D7BC4"/>
    <w:rsid w:val="007E4610"/>
    <w:rsid w:val="007E4715"/>
    <w:rsid w:val="007E505B"/>
    <w:rsid w:val="007E7091"/>
    <w:rsid w:val="007F05A8"/>
    <w:rsid w:val="00803FAE"/>
    <w:rsid w:val="008043E8"/>
    <w:rsid w:val="0080605F"/>
    <w:rsid w:val="00807786"/>
    <w:rsid w:val="00811FCB"/>
    <w:rsid w:val="008158D6"/>
    <w:rsid w:val="00817196"/>
    <w:rsid w:val="008224F8"/>
    <w:rsid w:val="008235DB"/>
    <w:rsid w:val="00824AB4"/>
    <w:rsid w:val="00825C42"/>
    <w:rsid w:val="00825D25"/>
    <w:rsid w:val="00827D6F"/>
    <w:rsid w:val="00830AC9"/>
    <w:rsid w:val="008372F4"/>
    <w:rsid w:val="008376AC"/>
    <w:rsid w:val="00841994"/>
    <w:rsid w:val="008444E8"/>
    <w:rsid w:val="00844E80"/>
    <w:rsid w:val="00846FE7"/>
    <w:rsid w:val="00852F57"/>
    <w:rsid w:val="00856911"/>
    <w:rsid w:val="008605CA"/>
    <w:rsid w:val="008677FD"/>
    <w:rsid w:val="00867E1E"/>
    <w:rsid w:val="008706D4"/>
    <w:rsid w:val="00870F8A"/>
    <w:rsid w:val="008719A4"/>
    <w:rsid w:val="00871D23"/>
    <w:rsid w:val="00874312"/>
    <w:rsid w:val="0087437C"/>
    <w:rsid w:val="00875CD7"/>
    <w:rsid w:val="00876B4D"/>
    <w:rsid w:val="00877F18"/>
    <w:rsid w:val="00893457"/>
    <w:rsid w:val="008941E3"/>
    <w:rsid w:val="00894A88"/>
    <w:rsid w:val="00895386"/>
    <w:rsid w:val="008A21FF"/>
    <w:rsid w:val="008A2CE2"/>
    <w:rsid w:val="008A30AA"/>
    <w:rsid w:val="008A30AC"/>
    <w:rsid w:val="008A44B8"/>
    <w:rsid w:val="008A51A8"/>
    <w:rsid w:val="008A54C7"/>
    <w:rsid w:val="008A77D8"/>
    <w:rsid w:val="008B0483"/>
    <w:rsid w:val="008B120C"/>
    <w:rsid w:val="008B33A7"/>
    <w:rsid w:val="008B51A0"/>
    <w:rsid w:val="008B592A"/>
    <w:rsid w:val="008B7B5C"/>
    <w:rsid w:val="008C0C99"/>
    <w:rsid w:val="008C2017"/>
    <w:rsid w:val="008C4958"/>
    <w:rsid w:val="008C4BAA"/>
    <w:rsid w:val="008C4FB5"/>
    <w:rsid w:val="008C6AE8"/>
    <w:rsid w:val="008C7573"/>
    <w:rsid w:val="008D00A5"/>
    <w:rsid w:val="008D34F1"/>
    <w:rsid w:val="008D39D8"/>
    <w:rsid w:val="008D6D1A"/>
    <w:rsid w:val="008E065E"/>
    <w:rsid w:val="008E0927"/>
    <w:rsid w:val="008E1909"/>
    <w:rsid w:val="008E3522"/>
    <w:rsid w:val="008F1C4E"/>
    <w:rsid w:val="008F1EAB"/>
    <w:rsid w:val="008F33DC"/>
    <w:rsid w:val="008F477F"/>
    <w:rsid w:val="008F699A"/>
    <w:rsid w:val="008F7F90"/>
    <w:rsid w:val="00902350"/>
    <w:rsid w:val="0090336B"/>
    <w:rsid w:val="009053AA"/>
    <w:rsid w:val="00906939"/>
    <w:rsid w:val="00910B7D"/>
    <w:rsid w:val="00911174"/>
    <w:rsid w:val="00911DFB"/>
    <w:rsid w:val="009139D9"/>
    <w:rsid w:val="00914AD8"/>
    <w:rsid w:val="00916079"/>
    <w:rsid w:val="00917CE9"/>
    <w:rsid w:val="0092075B"/>
    <w:rsid w:val="00920BF2"/>
    <w:rsid w:val="00922010"/>
    <w:rsid w:val="009246EC"/>
    <w:rsid w:val="00931BD9"/>
    <w:rsid w:val="00934A1F"/>
    <w:rsid w:val="00934FA8"/>
    <w:rsid w:val="009368F3"/>
    <w:rsid w:val="009412A4"/>
    <w:rsid w:val="00941636"/>
    <w:rsid w:val="00943742"/>
    <w:rsid w:val="009457BA"/>
    <w:rsid w:val="00945C05"/>
    <w:rsid w:val="00946945"/>
    <w:rsid w:val="00947713"/>
    <w:rsid w:val="00950DE7"/>
    <w:rsid w:val="00953920"/>
    <w:rsid w:val="00953D47"/>
    <w:rsid w:val="0095681E"/>
    <w:rsid w:val="009572D4"/>
    <w:rsid w:val="009617F7"/>
    <w:rsid w:val="00961921"/>
    <w:rsid w:val="00961F53"/>
    <w:rsid w:val="0096430A"/>
    <w:rsid w:val="0096554B"/>
    <w:rsid w:val="0096584A"/>
    <w:rsid w:val="00971F08"/>
    <w:rsid w:val="0097603D"/>
    <w:rsid w:val="009764A3"/>
    <w:rsid w:val="00976949"/>
    <w:rsid w:val="009802A7"/>
    <w:rsid w:val="00980477"/>
    <w:rsid w:val="00985253"/>
    <w:rsid w:val="009853B3"/>
    <w:rsid w:val="00990630"/>
    <w:rsid w:val="00991761"/>
    <w:rsid w:val="00992243"/>
    <w:rsid w:val="00992405"/>
    <w:rsid w:val="00994599"/>
    <w:rsid w:val="00994DCA"/>
    <w:rsid w:val="009960EC"/>
    <w:rsid w:val="009970DD"/>
    <w:rsid w:val="009A0FBA"/>
    <w:rsid w:val="009A1601"/>
    <w:rsid w:val="009A1C1A"/>
    <w:rsid w:val="009A3BB6"/>
    <w:rsid w:val="009A462D"/>
    <w:rsid w:val="009A5CBA"/>
    <w:rsid w:val="009B1F30"/>
    <w:rsid w:val="009B3AC2"/>
    <w:rsid w:val="009B4DF4"/>
    <w:rsid w:val="009B564E"/>
    <w:rsid w:val="009B611F"/>
    <w:rsid w:val="009B7E87"/>
    <w:rsid w:val="009C0169"/>
    <w:rsid w:val="009C403E"/>
    <w:rsid w:val="009D0507"/>
    <w:rsid w:val="009D4FF0"/>
    <w:rsid w:val="009D703C"/>
    <w:rsid w:val="009D718F"/>
    <w:rsid w:val="009E068F"/>
    <w:rsid w:val="009E14E0"/>
    <w:rsid w:val="009E1868"/>
    <w:rsid w:val="009E35DB"/>
    <w:rsid w:val="009E47A3"/>
    <w:rsid w:val="009E55EC"/>
    <w:rsid w:val="009E64B2"/>
    <w:rsid w:val="009F08F3"/>
    <w:rsid w:val="009F344F"/>
    <w:rsid w:val="00A031D8"/>
    <w:rsid w:val="00A048A8"/>
    <w:rsid w:val="00A04F49"/>
    <w:rsid w:val="00A07750"/>
    <w:rsid w:val="00A108ED"/>
    <w:rsid w:val="00A13E54"/>
    <w:rsid w:val="00A17F63"/>
    <w:rsid w:val="00A2193B"/>
    <w:rsid w:val="00A2351A"/>
    <w:rsid w:val="00A264A9"/>
    <w:rsid w:val="00A26DCF"/>
    <w:rsid w:val="00A27785"/>
    <w:rsid w:val="00A27F8E"/>
    <w:rsid w:val="00A30187"/>
    <w:rsid w:val="00A322FB"/>
    <w:rsid w:val="00A3448A"/>
    <w:rsid w:val="00A36297"/>
    <w:rsid w:val="00A36B5D"/>
    <w:rsid w:val="00A40A81"/>
    <w:rsid w:val="00A41E2B"/>
    <w:rsid w:val="00A45B74"/>
    <w:rsid w:val="00A52E1D"/>
    <w:rsid w:val="00A61046"/>
    <w:rsid w:val="00A61499"/>
    <w:rsid w:val="00A62A77"/>
    <w:rsid w:val="00A63483"/>
    <w:rsid w:val="00A64DDD"/>
    <w:rsid w:val="00A657D7"/>
    <w:rsid w:val="00A660AC"/>
    <w:rsid w:val="00A67E6C"/>
    <w:rsid w:val="00A71B99"/>
    <w:rsid w:val="00A739D0"/>
    <w:rsid w:val="00A761D4"/>
    <w:rsid w:val="00A77EC4"/>
    <w:rsid w:val="00A83FA9"/>
    <w:rsid w:val="00A850BB"/>
    <w:rsid w:val="00A911D4"/>
    <w:rsid w:val="00A92879"/>
    <w:rsid w:val="00A9442A"/>
    <w:rsid w:val="00A9752A"/>
    <w:rsid w:val="00AA016F"/>
    <w:rsid w:val="00AA0A71"/>
    <w:rsid w:val="00AA1ED6"/>
    <w:rsid w:val="00AA51D6"/>
    <w:rsid w:val="00AB0BC8"/>
    <w:rsid w:val="00AB11CA"/>
    <w:rsid w:val="00AB14D9"/>
    <w:rsid w:val="00AB4AB8"/>
    <w:rsid w:val="00AB655E"/>
    <w:rsid w:val="00AC007F"/>
    <w:rsid w:val="00AC2ECD"/>
    <w:rsid w:val="00AC3119"/>
    <w:rsid w:val="00AC49FB"/>
    <w:rsid w:val="00AC5A10"/>
    <w:rsid w:val="00AD0AA3"/>
    <w:rsid w:val="00AD11A6"/>
    <w:rsid w:val="00AD1437"/>
    <w:rsid w:val="00AD2ED0"/>
    <w:rsid w:val="00AD3F94"/>
    <w:rsid w:val="00AD4A5A"/>
    <w:rsid w:val="00AE1AF2"/>
    <w:rsid w:val="00AE27AC"/>
    <w:rsid w:val="00AE40E0"/>
    <w:rsid w:val="00AE4DBA"/>
    <w:rsid w:val="00AE4F07"/>
    <w:rsid w:val="00AF0577"/>
    <w:rsid w:val="00AF1C5D"/>
    <w:rsid w:val="00AF42D7"/>
    <w:rsid w:val="00AF6D7F"/>
    <w:rsid w:val="00B006FE"/>
    <w:rsid w:val="00B007CB"/>
    <w:rsid w:val="00B02AA9"/>
    <w:rsid w:val="00B02FA3"/>
    <w:rsid w:val="00B05084"/>
    <w:rsid w:val="00B157F9"/>
    <w:rsid w:val="00B20256"/>
    <w:rsid w:val="00B20882"/>
    <w:rsid w:val="00B20D09"/>
    <w:rsid w:val="00B2757F"/>
    <w:rsid w:val="00B2763F"/>
    <w:rsid w:val="00B27AAC"/>
    <w:rsid w:val="00B27D55"/>
    <w:rsid w:val="00B30929"/>
    <w:rsid w:val="00B372AA"/>
    <w:rsid w:val="00B378E4"/>
    <w:rsid w:val="00B40445"/>
    <w:rsid w:val="00B409E0"/>
    <w:rsid w:val="00B41888"/>
    <w:rsid w:val="00B41F28"/>
    <w:rsid w:val="00B45A52"/>
    <w:rsid w:val="00B46175"/>
    <w:rsid w:val="00B4622C"/>
    <w:rsid w:val="00B52587"/>
    <w:rsid w:val="00B548B7"/>
    <w:rsid w:val="00B55FCB"/>
    <w:rsid w:val="00B614B6"/>
    <w:rsid w:val="00B664C7"/>
    <w:rsid w:val="00B66722"/>
    <w:rsid w:val="00B713D8"/>
    <w:rsid w:val="00B739F6"/>
    <w:rsid w:val="00B74398"/>
    <w:rsid w:val="00B81A6C"/>
    <w:rsid w:val="00B83F51"/>
    <w:rsid w:val="00B85DE5"/>
    <w:rsid w:val="00B90F73"/>
    <w:rsid w:val="00B93B59"/>
    <w:rsid w:val="00B9406A"/>
    <w:rsid w:val="00B97F2F"/>
    <w:rsid w:val="00BA2280"/>
    <w:rsid w:val="00BA2A08"/>
    <w:rsid w:val="00BA56D2"/>
    <w:rsid w:val="00BA76E0"/>
    <w:rsid w:val="00BB2A25"/>
    <w:rsid w:val="00BB51E9"/>
    <w:rsid w:val="00BB5DB1"/>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0A7"/>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77C14"/>
    <w:rsid w:val="00C81568"/>
    <w:rsid w:val="00C86AC5"/>
    <w:rsid w:val="00C9027A"/>
    <w:rsid w:val="00C9068E"/>
    <w:rsid w:val="00C93814"/>
    <w:rsid w:val="00C93C4B"/>
    <w:rsid w:val="00C944AB"/>
    <w:rsid w:val="00C95B40"/>
    <w:rsid w:val="00CA1ED8"/>
    <w:rsid w:val="00CA5690"/>
    <w:rsid w:val="00CB0EB3"/>
    <w:rsid w:val="00CB1185"/>
    <w:rsid w:val="00CB1F63"/>
    <w:rsid w:val="00CB7170"/>
    <w:rsid w:val="00CC040E"/>
    <w:rsid w:val="00CC111F"/>
    <w:rsid w:val="00CC2011"/>
    <w:rsid w:val="00CC3EA0"/>
    <w:rsid w:val="00CC78E3"/>
    <w:rsid w:val="00CC7B45"/>
    <w:rsid w:val="00CD1188"/>
    <w:rsid w:val="00CD2ED1"/>
    <w:rsid w:val="00CD337B"/>
    <w:rsid w:val="00CD5A12"/>
    <w:rsid w:val="00CE0424"/>
    <w:rsid w:val="00CE7561"/>
    <w:rsid w:val="00CE7A4D"/>
    <w:rsid w:val="00CF1354"/>
    <w:rsid w:val="00CF1FE7"/>
    <w:rsid w:val="00CF3B1F"/>
    <w:rsid w:val="00CF3BF6"/>
    <w:rsid w:val="00CF625B"/>
    <w:rsid w:val="00CF687E"/>
    <w:rsid w:val="00D0349B"/>
    <w:rsid w:val="00D10249"/>
    <w:rsid w:val="00D115C3"/>
    <w:rsid w:val="00D11897"/>
    <w:rsid w:val="00D13135"/>
    <w:rsid w:val="00D13E4E"/>
    <w:rsid w:val="00D239A7"/>
    <w:rsid w:val="00D23F47"/>
    <w:rsid w:val="00D27660"/>
    <w:rsid w:val="00D33184"/>
    <w:rsid w:val="00D36E71"/>
    <w:rsid w:val="00D37D87"/>
    <w:rsid w:val="00D40B33"/>
    <w:rsid w:val="00D4318F"/>
    <w:rsid w:val="00D438BF"/>
    <w:rsid w:val="00D440F8"/>
    <w:rsid w:val="00D546FF"/>
    <w:rsid w:val="00D55AD5"/>
    <w:rsid w:val="00D576CA"/>
    <w:rsid w:val="00D61AF5"/>
    <w:rsid w:val="00D652B5"/>
    <w:rsid w:val="00D66155"/>
    <w:rsid w:val="00D669F3"/>
    <w:rsid w:val="00D708B0"/>
    <w:rsid w:val="00D70DFD"/>
    <w:rsid w:val="00D77B1D"/>
    <w:rsid w:val="00D8021F"/>
    <w:rsid w:val="00D80383"/>
    <w:rsid w:val="00D823C6"/>
    <w:rsid w:val="00D8327F"/>
    <w:rsid w:val="00D86CA3"/>
    <w:rsid w:val="00D871CE"/>
    <w:rsid w:val="00D90D00"/>
    <w:rsid w:val="00D9196D"/>
    <w:rsid w:val="00D92982"/>
    <w:rsid w:val="00DA305E"/>
    <w:rsid w:val="00DA5417"/>
    <w:rsid w:val="00DA56E8"/>
    <w:rsid w:val="00DB0A9F"/>
    <w:rsid w:val="00DB377D"/>
    <w:rsid w:val="00DB7ECA"/>
    <w:rsid w:val="00DC147D"/>
    <w:rsid w:val="00DC22AE"/>
    <w:rsid w:val="00DC2D36"/>
    <w:rsid w:val="00DC53EF"/>
    <w:rsid w:val="00DE5608"/>
    <w:rsid w:val="00DE58D0"/>
    <w:rsid w:val="00DE5B10"/>
    <w:rsid w:val="00DE654F"/>
    <w:rsid w:val="00DF0B6E"/>
    <w:rsid w:val="00DF15E0"/>
    <w:rsid w:val="00DF37A0"/>
    <w:rsid w:val="00E05F59"/>
    <w:rsid w:val="00E110E7"/>
    <w:rsid w:val="00E11B20"/>
    <w:rsid w:val="00E11FA0"/>
    <w:rsid w:val="00E12BF8"/>
    <w:rsid w:val="00E1339E"/>
    <w:rsid w:val="00E16749"/>
    <w:rsid w:val="00E17FA2"/>
    <w:rsid w:val="00E20324"/>
    <w:rsid w:val="00E22330"/>
    <w:rsid w:val="00E27566"/>
    <w:rsid w:val="00E30B5A"/>
    <w:rsid w:val="00E3123D"/>
    <w:rsid w:val="00E31461"/>
    <w:rsid w:val="00E31D43"/>
    <w:rsid w:val="00E32608"/>
    <w:rsid w:val="00E34188"/>
    <w:rsid w:val="00E34B6E"/>
    <w:rsid w:val="00E35559"/>
    <w:rsid w:val="00E3723A"/>
    <w:rsid w:val="00E37860"/>
    <w:rsid w:val="00E446F1"/>
    <w:rsid w:val="00E458B6"/>
    <w:rsid w:val="00E46886"/>
    <w:rsid w:val="00E47AEF"/>
    <w:rsid w:val="00E53B75"/>
    <w:rsid w:val="00E54E3B"/>
    <w:rsid w:val="00E57565"/>
    <w:rsid w:val="00E63838"/>
    <w:rsid w:val="00E64434"/>
    <w:rsid w:val="00E67C51"/>
    <w:rsid w:val="00E72EFC"/>
    <w:rsid w:val="00E73817"/>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085C"/>
    <w:rsid w:val="00ED1006"/>
    <w:rsid w:val="00ED7DE5"/>
    <w:rsid w:val="00EE4FAE"/>
    <w:rsid w:val="00EF18FE"/>
    <w:rsid w:val="00EF5787"/>
    <w:rsid w:val="00EF60D0"/>
    <w:rsid w:val="00EF6EB6"/>
    <w:rsid w:val="00F0528D"/>
    <w:rsid w:val="00F06C67"/>
    <w:rsid w:val="00F06DFD"/>
    <w:rsid w:val="00F071D1"/>
    <w:rsid w:val="00F07533"/>
    <w:rsid w:val="00F07CA6"/>
    <w:rsid w:val="00F10629"/>
    <w:rsid w:val="00F15FA5"/>
    <w:rsid w:val="00F209B7"/>
    <w:rsid w:val="00F20CA3"/>
    <w:rsid w:val="00F2258C"/>
    <w:rsid w:val="00F2376F"/>
    <w:rsid w:val="00F243D8"/>
    <w:rsid w:val="00F30828"/>
    <w:rsid w:val="00F313D6"/>
    <w:rsid w:val="00F34545"/>
    <w:rsid w:val="00F40F0C"/>
    <w:rsid w:val="00F4766C"/>
    <w:rsid w:val="00F5060E"/>
    <w:rsid w:val="00F507D1"/>
    <w:rsid w:val="00F519CE"/>
    <w:rsid w:val="00F51ADA"/>
    <w:rsid w:val="00F521B8"/>
    <w:rsid w:val="00F552C2"/>
    <w:rsid w:val="00F60203"/>
    <w:rsid w:val="00F607C5"/>
    <w:rsid w:val="00F60DEA"/>
    <w:rsid w:val="00F61905"/>
    <w:rsid w:val="00F6302A"/>
    <w:rsid w:val="00F63950"/>
    <w:rsid w:val="00F64C2B"/>
    <w:rsid w:val="00F651BE"/>
    <w:rsid w:val="00F67F53"/>
    <w:rsid w:val="00F703BE"/>
    <w:rsid w:val="00F71F69"/>
    <w:rsid w:val="00F72B72"/>
    <w:rsid w:val="00F74BB9"/>
    <w:rsid w:val="00F75582"/>
    <w:rsid w:val="00F76EFA"/>
    <w:rsid w:val="00F77BDC"/>
    <w:rsid w:val="00F804BE"/>
    <w:rsid w:val="00F817CE"/>
    <w:rsid w:val="00F8456C"/>
    <w:rsid w:val="00F859D8"/>
    <w:rsid w:val="00F868F5"/>
    <w:rsid w:val="00F9056A"/>
    <w:rsid w:val="00F90F8D"/>
    <w:rsid w:val="00F92782"/>
    <w:rsid w:val="00F92FAD"/>
    <w:rsid w:val="00F93AA9"/>
    <w:rsid w:val="00F96985"/>
    <w:rsid w:val="00F97838"/>
    <w:rsid w:val="00FA1F42"/>
    <w:rsid w:val="00FA2BB3"/>
    <w:rsid w:val="00FB3E47"/>
    <w:rsid w:val="00FB4C80"/>
    <w:rsid w:val="00FB5D67"/>
    <w:rsid w:val="00FB6A6A"/>
    <w:rsid w:val="00FC4662"/>
    <w:rsid w:val="00FC7429"/>
    <w:rsid w:val="00FD07F6"/>
    <w:rsid w:val="00FD1EC8"/>
    <w:rsid w:val="00FD47ED"/>
    <w:rsid w:val="00FD6143"/>
    <w:rsid w:val="00FD74DB"/>
    <w:rsid w:val="00FD7660"/>
    <w:rsid w:val="00FD768B"/>
    <w:rsid w:val="00FE0655"/>
    <w:rsid w:val="00FE2365"/>
    <w:rsid w:val="00FE37D7"/>
    <w:rsid w:val="00FE4C7B"/>
    <w:rsid w:val="00FE7336"/>
    <w:rsid w:val="00FE787C"/>
    <w:rsid w:val="00FF45A5"/>
    <w:rsid w:val="00FF5C91"/>
    <w:rsid w:val="00FF786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9A1C1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3Char">
    <w:name w:val="B3 Char"/>
    <w:qFormat/>
    <w:rsid w:val="00C86AC5"/>
    <w:rPr>
      <w:lang w:eastAsia="en-US"/>
    </w:rPr>
  </w:style>
  <w:style w:type="character" w:styleId="PlaceholderText">
    <w:name w:val="Placeholder Text"/>
    <w:basedOn w:val="DefaultParagraphFont"/>
    <w:uiPriority w:val="99"/>
    <w:semiHidden/>
    <w:rsid w:val="00C77C14"/>
    <w:rPr>
      <w:color w:val="808080"/>
    </w:rPr>
  </w:style>
  <w:style w:type="paragraph" w:styleId="Revision">
    <w:name w:val="Revision"/>
    <w:hidden/>
    <w:uiPriority w:val="99"/>
    <w:semiHidden/>
    <w:rsid w:val="001D6B0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4270">
      <w:bodyDiv w:val="1"/>
      <w:marLeft w:val="0"/>
      <w:marRight w:val="0"/>
      <w:marTop w:val="0"/>
      <w:marBottom w:val="0"/>
      <w:divBdr>
        <w:top w:val="none" w:sz="0" w:space="0" w:color="auto"/>
        <w:left w:val="none" w:sz="0" w:space="0" w:color="auto"/>
        <w:bottom w:val="none" w:sz="0" w:space="0" w:color="auto"/>
        <w:right w:val="none" w:sz="0" w:space="0" w:color="auto"/>
      </w:divBdr>
    </w:div>
    <w:div w:id="708796017">
      <w:bodyDiv w:val="1"/>
      <w:marLeft w:val="0"/>
      <w:marRight w:val="0"/>
      <w:marTop w:val="0"/>
      <w:marBottom w:val="0"/>
      <w:divBdr>
        <w:top w:val="none" w:sz="0" w:space="0" w:color="auto"/>
        <w:left w:val="none" w:sz="0" w:space="0" w:color="auto"/>
        <w:bottom w:val="none" w:sz="0" w:space="0" w:color="auto"/>
        <w:right w:val="none" w:sz="0" w:space="0" w:color="auto"/>
      </w:divBdr>
    </w:div>
    <w:div w:id="1216116207">
      <w:bodyDiv w:val="1"/>
      <w:marLeft w:val="0"/>
      <w:marRight w:val="0"/>
      <w:marTop w:val="0"/>
      <w:marBottom w:val="0"/>
      <w:divBdr>
        <w:top w:val="none" w:sz="0" w:space="0" w:color="auto"/>
        <w:left w:val="none" w:sz="0" w:space="0" w:color="auto"/>
        <w:bottom w:val="none" w:sz="0" w:space="0" w:color="auto"/>
        <w:right w:val="none" w:sz="0" w:space="0" w:color="auto"/>
      </w:divBdr>
    </w:div>
    <w:div w:id="210988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8.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351CEB5A-AF98-41C8-B915-80B74C9378DF}">
  <ds:schemaRefs>
    <ds:schemaRef ds:uri="http://schemas.microsoft.com/office/2006/documentManagement/types"/>
    <ds:schemaRef ds:uri="http://schemas.microsoft.com/sharepoint/v3"/>
    <ds:schemaRef ds:uri="9b239327-9e80-40e4-b1b7-4394fed77a33"/>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 ds:uri="http://purl.org/dc/dcmitype/"/>
    <ds:schemaRef ds:uri="d8762117-8292-4133-b1c7-eab5c6487cfd"/>
    <ds:schemaRef ds:uri="2f282d3b-eb4a-4b09-b61f-b9593442e286"/>
    <ds:schemaRef ds:uri="http://www.w3.org/XML/1998/namespace"/>
  </ds:schemaRefs>
</ds:datastoreItem>
</file>

<file path=customXml/itemProps3.xml><?xml version="1.0" encoding="utf-8"?>
<ds:datastoreItem xmlns:ds="http://schemas.openxmlformats.org/officeDocument/2006/customXml" ds:itemID="{C9DD1BAF-1130-4AE1-9B88-EAAD04FFD4B3}">
  <ds:schemaRefs>
    <ds:schemaRef ds:uri="http://schemas.microsoft.com/sharepoint/v3/contenttype/forms"/>
  </ds:schemaRefs>
</ds:datastoreItem>
</file>

<file path=customXml/itemProps4.xml><?xml version="1.0" encoding="utf-8"?>
<ds:datastoreItem xmlns:ds="http://schemas.openxmlformats.org/officeDocument/2006/customXml" ds:itemID="{C6EE3AB1-19E7-4785-ABBD-10C4F78B4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2799</Words>
  <Characters>15958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18720</CharactersWithSpaces>
  <SharedDoc>false</SharedDoc>
  <HLinks>
    <vt:vector size="72" baseType="variant">
      <vt:variant>
        <vt:i4>1310775</vt:i4>
      </vt:variant>
      <vt:variant>
        <vt:i4>38</vt:i4>
      </vt:variant>
      <vt:variant>
        <vt:i4>0</vt:i4>
      </vt:variant>
      <vt:variant>
        <vt:i4>5</vt:i4>
      </vt:variant>
      <vt:variant>
        <vt:lpwstr/>
      </vt:variant>
      <vt:variant>
        <vt:lpwstr>_Toc139282705</vt:lpwstr>
      </vt:variant>
      <vt:variant>
        <vt:i4>1310775</vt:i4>
      </vt:variant>
      <vt:variant>
        <vt:i4>35</vt:i4>
      </vt:variant>
      <vt:variant>
        <vt:i4>0</vt:i4>
      </vt:variant>
      <vt:variant>
        <vt:i4>5</vt:i4>
      </vt:variant>
      <vt:variant>
        <vt:lpwstr/>
      </vt:variant>
      <vt:variant>
        <vt:lpwstr>_Toc139282704</vt:lpwstr>
      </vt:variant>
      <vt:variant>
        <vt:i4>1310775</vt:i4>
      </vt:variant>
      <vt:variant>
        <vt:i4>32</vt:i4>
      </vt:variant>
      <vt:variant>
        <vt:i4>0</vt:i4>
      </vt:variant>
      <vt:variant>
        <vt:i4>5</vt:i4>
      </vt:variant>
      <vt:variant>
        <vt:lpwstr/>
      </vt:variant>
      <vt:variant>
        <vt:lpwstr>_Toc139282703</vt:lpwstr>
      </vt:variant>
      <vt:variant>
        <vt:i4>1310775</vt:i4>
      </vt:variant>
      <vt:variant>
        <vt:i4>29</vt:i4>
      </vt:variant>
      <vt:variant>
        <vt:i4>0</vt:i4>
      </vt:variant>
      <vt:variant>
        <vt:i4>5</vt:i4>
      </vt:variant>
      <vt:variant>
        <vt:lpwstr/>
      </vt:variant>
      <vt:variant>
        <vt:lpwstr>_Toc139282702</vt:lpwstr>
      </vt:variant>
      <vt:variant>
        <vt:i4>1310775</vt:i4>
      </vt:variant>
      <vt:variant>
        <vt:i4>26</vt:i4>
      </vt:variant>
      <vt:variant>
        <vt:i4>0</vt:i4>
      </vt:variant>
      <vt:variant>
        <vt:i4>5</vt:i4>
      </vt:variant>
      <vt:variant>
        <vt:lpwstr/>
      </vt:variant>
      <vt:variant>
        <vt:lpwstr>_Toc139282701</vt:lpwstr>
      </vt:variant>
      <vt:variant>
        <vt:i4>1310775</vt:i4>
      </vt:variant>
      <vt:variant>
        <vt:i4>20</vt:i4>
      </vt:variant>
      <vt:variant>
        <vt:i4>0</vt:i4>
      </vt:variant>
      <vt:variant>
        <vt:i4>5</vt:i4>
      </vt:variant>
      <vt:variant>
        <vt:lpwstr/>
      </vt:variant>
      <vt:variant>
        <vt:lpwstr>_Toc139282700</vt:lpwstr>
      </vt:variant>
      <vt:variant>
        <vt:i4>1900598</vt:i4>
      </vt:variant>
      <vt:variant>
        <vt:i4>17</vt:i4>
      </vt:variant>
      <vt:variant>
        <vt:i4>0</vt:i4>
      </vt:variant>
      <vt:variant>
        <vt:i4>5</vt:i4>
      </vt:variant>
      <vt:variant>
        <vt:lpwstr/>
      </vt:variant>
      <vt:variant>
        <vt:lpwstr>_Toc139282699</vt:lpwstr>
      </vt:variant>
      <vt:variant>
        <vt:i4>1900598</vt:i4>
      </vt:variant>
      <vt:variant>
        <vt:i4>14</vt:i4>
      </vt:variant>
      <vt:variant>
        <vt:i4>0</vt:i4>
      </vt:variant>
      <vt:variant>
        <vt:i4>5</vt:i4>
      </vt:variant>
      <vt:variant>
        <vt:lpwstr/>
      </vt:variant>
      <vt:variant>
        <vt:lpwstr>_Toc139282698</vt:lpwstr>
      </vt:variant>
      <vt:variant>
        <vt:i4>1900598</vt:i4>
      </vt:variant>
      <vt:variant>
        <vt:i4>11</vt:i4>
      </vt:variant>
      <vt:variant>
        <vt:i4>0</vt:i4>
      </vt:variant>
      <vt:variant>
        <vt:i4>5</vt:i4>
      </vt:variant>
      <vt:variant>
        <vt:lpwstr/>
      </vt:variant>
      <vt:variant>
        <vt:lpwstr>_Toc139282697</vt:lpwstr>
      </vt:variant>
      <vt:variant>
        <vt:i4>1900598</vt:i4>
      </vt:variant>
      <vt:variant>
        <vt:i4>8</vt:i4>
      </vt:variant>
      <vt:variant>
        <vt:i4>0</vt:i4>
      </vt:variant>
      <vt:variant>
        <vt:i4>5</vt:i4>
      </vt:variant>
      <vt:variant>
        <vt:lpwstr/>
      </vt:variant>
      <vt:variant>
        <vt:lpwstr>_Toc139282696</vt:lpwstr>
      </vt:variant>
      <vt:variant>
        <vt:i4>1900598</vt:i4>
      </vt:variant>
      <vt:variant>
        <vt:i4>5</vt:i4>
      </vt:variant>
      <vt:variant>
        <vt:i4>0</vt:i4>
      </vt:variant>
      <vt:variant>
        <vt:i4>5</vt:i4>
      </vt:variant>
      <vt:variant>
        <vt:lpwstr/>
      </vt:variant>
      <vt:variant>
        <vt:lpwstr>_Toc139282695</vt:lpwstr>
      </vt:variant>
      <vt:variant>
        <vt:i4>1900598</vt:i4>
      </vt:variant>
      <vt:variant>
        <vt:i4>2</vt:i4>
      </vt:variant>
      <vt:variant>
        <vt:i4>0</vt:i4>
      </vt:variant>
      <vt:variant>
        <vt:i4>5</vt:i4>
      </vt:variant>
      <vt:variant>
        <vt:lpwstr/>
      </vt:variant>
      <vt:variant>
        <vt:lpwstr>_Toc139282694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2023-09-29T18:32:00Z</dcterms:created>
  <dcterms:modified xsi:type="dcterms:W3CDTF">2023-09-29T18:32:00Z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